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宋体" w:hAnsi="宋体" w:cs="宋体"/>
          <w:b/>
          <w:color w:val="auto"/>
          <w:sz w:val="48"/>
          <w:szCs w:val="48"/>
          <w:highlight w:val="none"/>
        </w:rPr>
      </w:pPr>
    </w:p>
    <w:p>
      <w:pPr>
        <w:spacing w:line="360" w:lineRule="auto"/>
        <w:jc w:val="center"/>
        <w:rPr>
          <w:rFonts w:hint="eastAsia" w:ascii="宋体" w:hAnsi="宋体" w:cs="宋体"/>
          <w:b/>
          <w:color w:val="auto"/>
          <w:sz w:val="36"/>
          <w:szCs w:val="36"/>
          <w:highlight w:val="none"/>
          <w:lang w:val="en-US" w:eastAsia="zh-CN"/>
        </w:rPr>
      </w:pPr>
      <w:r>
        <w:rPr>
          <w:rFonts w:hint="eastAsia" w:ascii="宋体" w:hAnsi="宋体" w:cs="宋体"/>
          <w:b/>
          <w:color w:val="auto"/>
          <w:sz w:val="36"/>
          <w:szCs w:val="36"/>
          <w:highlight w:val="none"/>
          <w:lang w:eastAsia="zh-CN"/>
        </w:rPr>
        <w:t>桐城师范高等专科学校202</w:t>
      </w:r>
      <w:r>
        <w:rPr>
          <w:rFonts w:hint="eastAsia" w:ascii="宋体" w:hAnsi="宋体" w:cs="宋体"/>
          <w:b/>
          <w:color w:val="auto"/>
          <w:sz w:val="36"/>
          <w:szCs w:val="36"/>
          <w:highlight w:val="none"/>
          <w:lang w:val="en-US" w:eastAsia="zh-CN"/>
        </w:rPr>
        <w:t>4</w:t>
      </w:r>
      <w:r>
        <w:rPr>
          <w:rFonts w:hint="eastAsia" w:ascii="宋体" w:hAnsi="宋体" w:cs="宋体"/>
          <w:b/>
          <w:color w:val="auto"/>
          <w:sz w:val="36"/>
          <w:szCs w:val="36"/>
          <w:highlight w:val="none"/>
          <w:lang w:eastAsia="zh-CN"/>
        </w:rPr>
        <w:t>-202</w:t>
      </w:r>
      <w:r>
        <w:rPr>
          <w:rFonts w:hint="eastAsia" w:ascii="宋体" w:hAnsi="宋体" w:cs="宋体"/>
          <w:b/>
          <w:color w:val="auto"/>
          <w:sz w:val="36"/>
          <w:szCs w:val="36"/>
          <w:highlight w:val="none"/>
          <w:lang w:val="en-US" w:eastAsia="zh-CN"/>
        </w:rPr>
        <w:t>5</w:t>
      </w:r>
      <w:r>
        <w:rPr>
          <w:rFonts w:hint="eastAsia" w:ascii="宋体" w:hAnsi="宋体" w:cs="宋体"/>
          <w:b/>
          <w:color w:val="auto"/>
          <w:sz w:val="36"/>
          <w:szCs w:val="36"/>
          <w:highlight w:val="none"/>
          <w:lang w:eastAsia="zh-CN"/>
        </w:rPr>
        <w:t>年度</w:t>
      </w:r>
      <w:r>
        <w:rPr>
          <w:rFonts w:hint="eastAsia" w:ascii="宋体" w:hAnsi="宋体" w:cs="宋体"/>
          <w:b/>
          <w:color w:val="auto"/>
          <w:sz w:val="36"/>
          <w:szCs w:val="36"/>
          <w:highlight w:val="none"/>
          <w:lang w:val="en-US" w:eastAsia="zh-CN"/>
        </w:rPr>
        <w:t>水暖</w:t>
      </w:r>
      <w:r>
        <w:rPr>
          <w:rFonts w:hint="eastAsia" w:ascii="宋体" w:hAnsi="宋体" w:cs="宋体"/>
          <w:b/>
          <w:color w:val="auto"/>
          <w:sz w:val="36"/>
          <w:szCs w:val="36"/>
          <w:highlight w:val="none"/>
          <w:lang w:eastAsia="zh-CN"/>
        </w:rPr>
        <w:t>维修</w:t>
      </w:r>
      <w:r>
        <w:rPr>
          <w:rFonts w:hint="eastAsia" w:ascii="宋体" w:hAnsi="宋体" w:cs="宋体"/>
          <w:b/>
          <w:color w:val="auto"/>
          <w:sz w:val="36"/>
          <w:szCs w:val="36"/>
          <w:highlight w:val="none"/>
          <w:lang w:val="en-US" w:eastAsia="zh-CN"/>
        </w:rPr>
        <w:t>耗材</w:t>
      </w:r>
    </w:p>
    <w:p>
      <w:pPr>
        <w:spacing w:line="360" w:lineRule="auto"/>
        <w:jc w:val="center"/>
        <w:rPr>
          <w:rFonts w:hint="default"/>
          <w:color w:val="auto"/>
          <w:highlight w:val="none"/>
          <w:lang w:val="en-US"/>
        </w:rPr>
      </w:pPr>
      <w:r>
        <w:rPr>
          <w:rFonts w:hint="eastAsia" w:ascii="宋体" w:hAnsi="宋体" w:cs="宋体"/>
          <w:b/>
          <w:color w:val="auto"/>
          <w:sz w:val="36"/>
          <w:szCs w:val="36"/>
          <w:highlight w:val="none"/>
          <w:lang w:eastAsia="zh-CN"/>
        </w:rPr>
        <w:t>采购</w:t>
      </w:r>
      <w:r>
        <w:rPr>
          <w:rFonts w:hint="eastAsia" w:ascii="宋体" w:hAnsi="宋体" w:cs="宋体"/>
          <w:b/>
          <w:color w:val="auto"/>
          <w:sz w:val="36"/>
          <w:szCs w:val="36"/>
          <w:highlight w:val="none"/>
          <w:lang w:val="en-US" w:eastAsia="zh-CN"/>
        </w:rPr>
        <w:t>项目(三次)</w:t>
      </w:r>
    </w:p>
    <w:p>
      <w:pPr>
        <w:spacing w:line="480" w:lineRule="exact"/>
        <w:rPr>
          <w:rFonts w:ascii="宋体"/>
          <w:color w:val="auto"/>
          <w:sz w:val="44"/>
          <w:szCs w:val="44"/>
          <w:highlight w:val="none"/>
        </w:rPr>
      </w:pPr>
    </w:p>
    <w:p>
      <w:pPr>
        <w:pStyle w:val="2"/>
      </w:pPr>
    </w:p>
    <w:p>
      <w:pPr>
        <w:pStyle w:val="76"/>
        <w:jc w:val="center"/>
        <w:rPr>
          <w:rFonts w:hint="default" w:eastAsia="宋体"/>
          <w:b/>
          <w:bCs/>
          <w:color w:val="auto"/>
          <w:sz w:val="72"/>
          <w:szCs w:val="72"/>
          <w:highlight w:val="none"/>
          <w:lang w:val="en-US" w:eastAsia="zh-CN"/>
        </w:rPr>
      </w:pPr>
      <w:r>
        <w:rPr>
          <w:rFonts w:hint="eastAsia" w:ascii="宋体"/>
          <w:b/>
          <w:bCs/>
          <w:color w:val="auto"/>
          <w:sz w:val="72"/>
          <w:szCs w:val="72"/>
          <w:highlight w:val="none"/>
          <w:lang w:val="en-US" w:eastAsia="zh-CN"/>
        </w:rPr>
        <w:t>竞争性谈判文件</w:t>
      </w:r>
    </w:p>
    <w:p>
      <w:pPr>
        <w:spacing w:line="480" w:lineRule="exact"/>
        <w:rPr>
          <w:rFonts w:ascii="仿宋_GB2312" w:hAnsi="宋体" w:eastAsia="仿宋_GB2312"/>
          <w:b/>
          <w:color w:val="auto"/>
          <w:sz w:val="44"/>
          <w:szCs w:val="44"/>
          <w:highlight w:val="none"/>
        </w:rPr>
      </w:pPr>
    </w:p>
    <w:p>
      <w:pPr>
        <w:spacing w:line="480" w:lineRule="exact"/>
        <w:rPr>
          <w:rFonts w:ascii="宋体"/>
          <w:color w:val="auto"/>
          <w:sz w:val="144"/>
          <w:szCs w:val="144"/>
          <w:highlight w:val="none"/>
        </w:rPr>
      </w:pPr>
    </w:p>
    <w:p>
      <w:pPr>
        <w:spacing w:line="480" w:lineRule="exact"/>
        <w:jc w:val="center"/>
        <w:rPr>
          <w:rFonts w:hint="eastAsia" w:ascii="宋体" w:hAnsi="宋体" w:cs="宋体"/>
          <w:b/>
          <w:bCs/>
          <w:color w:val="auto"/>
          <w:sz w:val="28"/>
          <w:szCs w:val="28"/>
          <w:highlight w:val="none"/>
        </w:rPr>
      </w:pPr>
    </w:p>
    <w:p>
      <w:pPr>
        <w:spacing w:line="480" w:lineRule="exact"/>
        <w:jc w:val="center"/>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rPr>
        <w:t>项目编号：TCSZCG(20</w:t>
      </w:r>
      <w:r>
        <w:rPr>
          <w:rFonts w:hint="eastAsia" w:ascii="宋体" w:hAnsi="宋体" w:cs="宋体"/>
          <w:b/>
          <w:bCs/>
          <w:color w:val="auto"/>
          <w:sz w:val="28"/>
          <w:szCs w:val="28"/>
          <w:highlight w:val="none"/>
          <w:lang w:val="en-US" w:eastAsia="zh-CN"/>
        </w:rPr>
        <w:t>24</w:t>
      </w:r>
      <w:r>
        <w:rPr>
          <w:rFonts w:hint="eastAsia" w:ascii="宋体" w:hAnsi="宋体" w:cs="宋体"/>
          <w:b/>
          <w:bCs/>
          <w:color w:val="auto"/>
          <w:sz w:val="28"/>
          <w:szCs w:val="28"/>
          <w:highlight w:val="none"/>
        </w:rPr>
        <w:t xml:space="preserve">) </w:t>
      </w:r>
      <w:r>
        <w:rPr>
          <w:rFonts w:hint="eastAsia" w:ascii="宋体" w:hAnsi="宋体" w:cs="宋体"/>
          <w:b/>
          <w:bCs/>
          <w:color w:val="auto"/>
          <w:sz w:val="28"/>
          <w:szCs w:val="28"/>
          <w:highlight w:val="none"/>
          <w:lang w:val="en-US" w:eastAsia="zh-CN"/>
        </w:rPr>
        <w:t>005</w:t>
      </w:r>
      <w:r>
        <w:rPr>
          <w:rFonts w:hint="eastAsia" w:ascii="宋体" w:hAnsi="宋体" w:cs="宋体"/>
          <w:b/>
          <w:bCs/>
          <w:color w:val="auto"/>
          <w:sz w:val="28"/>
          <w:szCs w:val="28"/>
          <w:highlight w:val="none"/>
        </w:rPr>
        <w:t>号</w:t>
      </w:r>
    </w:p>
    <w:p>
      <w:pPr>
        <w:spacing w:line="480" w:lineRule="exact"/>
        <w:jc w:val="center"/>
        <w:rPr>
          <w:rFonts w:ascii="宋体" w:hAnsi="宋体" w:cs="仿宋_GB2312"/>
          <w:b/>
          <w:bCs/>
          <w:color w:val="auto"/>
          <w:sz w:val="28"/>
          <w:szCs w:val="28"/>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360" w:lineRule="auto"/>
        <w:ind w:firstLine="596" w:firstLineChars="198"/>
        <w:rPr>
          <w:rFonts w:ascii="宋体" w:hAnsi="宋体" w:cs="仿宋_GB2312"/>
          <w:b/>
          <w:color w:val="auto"/>
          <w:szCs w:val="21"/>
          <w:highlight w:val="none"/>
        </w:rPr>
      </w:pPr>
      <w:r>
        <w:rPr>
          <w:rFonts w:hint="eastAsia" w:ascii="宋体" w:hAnsi="宋体" w:cs="仿宋_GB2312"/>
          <w:b/>
          <w:color w:val="auto"/>
          <w:sz w:val="30"/>
          <w:szCs w:val="30"/>
          <w:highlight w:val="none"/>
        </w:rPr>
        <w:t>采</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购</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人：</w:t>
      </w:r>
      <w:r>
        <w:rPr>
          <w:rFonts w:ascii="宋体" w:hAnsi="宋体" w:cs="仿宋_GB2312"/>
          <w:b/>
          <w:color w:val="auto"/>
          <w:sz w:val="30"/>
          <w:szCs w:val="30"/>
          <w:highlight w:val="none"/>
          <w:u w:val="single"/>
        </w:rPr>
        <w:t xml:space="preserve">      </w:t>
      </w:r>
      <w:r>
        <w:rPr>
          <w:rFonts w:hint="eastAsia" w:ascii="宋体" w:hAnsi="宋体" w:cs="仿宋_GB2312"/>
          <w:b/>
          <w:color w:val="auto"/>
          <w:sz w:val="30"/>
          <w:szCs w:val="30"/>
          <w:highlight w:val="none"/>
          <w:u w:val="single"/>
          <w:lang w:val="en-US" w:eastAsia="zh-CN"/>
        </w:rPr>
        <w:t xml:space="preserve">  </w:t>
      </w:r>
      <w:r>
        <w:rPr>
          <w:rFonts w:hint="eastAsia" w:ascii="仿宋" w:hAnsi="仿宋" w:eastAsia="仿宋"/>
          <w:b/>
          <w:color w:val="auto"/>
          <w:spacing w:val="20"/>
          <w:sz w:val="30"/>
          <w:szCs w:val="30"/>
          <w:highlight w:val="none"/>
          <w:u w:val="single"/>
          <w:lang w:val="en-US" w:eastAsia="zh-CN"/>
        </w:rPr>
        <w:t>桐城师范高等专科学校</w:t>
      </w:r>
      <w:r>
        <w:rPr>
          <w:rFonts w:hint="eastAsia" w:ascii="仿宋" w:hAnsi="仿宋" w:eastAsia="仿宋"/>
          <w:b/>
          <w:color w:val="auto"/>
          <w:spacing w:val="20"/>
          <w:sz w:val="30"/>
          <w:szCs w:val="30"/>
          <w:highlight w:val="none"/>
          <w:u w:val="single"/>
        </w:rPr>
        <w:t xml:space="preserve"> </w:t>
      </w:r>
      <w:r>
        <w:rPr>
          <w:rFonts w:ascii="宋体" w:hAnsi="宋体" w:cs="仿宋_GB2312"/>
          <w:b/>
          <w:color w:val="auto"/>
          <w:spacing w:val="20"/>
          <w:sz w:val="30"/>
          <w:szCs w:val="30"/>
          <w:highlight w:val="none"/>
          <w:u w:val="single"/>
        </w:rPr>
        <w:t xml:space="preserve">    </w:t>
      </w:r>
      <w:r>
        <w:rPr>
          <w:rFonts w:ascii="宋体" w:hAnsi="宋体" w:cs="仿宋_GB2312"/>
          <w:b/>
          <w:color w:val="auto"/>
          <w:sz w:val="30"/>
          <w:szCs w:val="30"/>
          <w:highlight w:val="none"/>
          <w:u w:val="single"/>
        </w:rPr>
        <w:t xml:space="preserve">  </w:t>
      </w:r>
    </w:p>
    <w:p>
      <w:pPr>
        <w:spacing w:line="360" w:lineRule="auto"/>
        <w:rPr>
          <w:rFonts w:ascii="宋体" w:hAnsi="宋体" w:cs="仿宋_GB2312"/>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ind w:firstLine="596" w:firstLineChars="198"/>
        <w:rPr>
          <w:rFonts w:hint="eastAsia" w:ascii="仿宋" w:hAnsi="仿宋" w:eastAsia="仿宋" w:cs="仿宋"/>
          <w:b/>
          <w:color w:val="auto"/>
          <w:szCs w:val="21"/>
          <w:highlight w:val="none"/>
        </w:rPr>
      </w:pPr>
      <w:r>
        <w:rPr>
          <w:rFonts w:hint="eastAsia" w:ascii="仿宋" w:hAnsi="仿宋" w:eastAsia="仿宋" w:cs="仿宋"/>
          <w:b/>
          <w:color w:val="auto"/>
          <w:sz w:val="30"/>
          <w:szCs w:val="30"/>
          <w:highlight w:val="none"/>
        </w:rPr>
        <w:t>采购</w:t>
      </w:r>
      <w:r>
        <w:rPr>
          <w:rFonts w:hint="eastAsia" w:ascii="仿宋" w:hAnsi="仿宋" w:eastAsia="仿宋" w:cs="仿宋"/>
          <w:b/>
          <w:color w:val="auto"/>
          <w:sz w:val="30"/>
          <w:szCs w:val="30"/>
          <w:highlight w:val="none"/>
          <w:lang w:val="en-US" w:eastAsia="zh-CN"/>
        </w:rPr>
        <w:t>代理</w:t>
      </w:r>
      <w:r>
        <w:rPr>
          <w:rFonts w:hint="eastAsia" w:ascii="仿宋" w:hAnsi="仿宋" w:eastAsia="仿宋" w:cs="仿宋"/>
          <w:b/>
          <w:color w:val="auto"/>
          <w:sz w:val="30"/>
          <w:szCs w:val="30"/>
          <w:highlight w:val="none"/>
        </w:rPr>
        <w:t>机构：</w:t>
      </w:r>
      <w:r>
        <w:rPr>
          <w:rFonts w:hint="eastAsia" w:ascii="仿宋" w:hAnsi="仿宋" w:eastAsia="仿宋" w:cs="仿宋"/>
          <w:b/>
          <w:color w:val="auto"/>
          <w:sz w:val="30"/>
          <w:szCs w:val="30"/>
          <w:highlight w:val="none"/>
          <w:u w:val="single"/>
        </w:rPr>
        <w:t xml:space="preserve">    </w:t>
      </w:r>
      <w:r>
        <w:rPr>
          <w:rFonts w:hint="eastAsia" w:ascii="仿宋" w:hAnsi="仿宋" w:eastAsia="仿宋" w:cs="仿宋"/>
          <w:b/>
          <w:color w:val="auto"/>
          <w:sz w:val="30"/>
          <w:szCs w:val="30"/>
          <w:highlight w:val="none"/>
          <w:u w:val="single"/>
          <w:lang w:val="en-US" w:eastAsia="zh-CN"/>
        </w:rPr>
        <w:t xml:space="preserve">  四川柯锐工程项目管理有限公司</w:t>
      </w:r>
      <w:r>
        <w:rPr>
          <w:rFonts w:hint="eastAsia" w:ascii="仿宋" w:hAnsi="仿宋" w:eastAsia="仿宋" w:cs="仿宋"/>
          <w:b/>
          <w:color w:val="auto"/>
          <w:spacing w:val="20"/>
          <w:sz w:val="30"/>
          <w:szCs w:val="30"/>
          <w:highlight w:val="none"/>
          <w:u w:val="single"/>
        </w:rPr>
        <w:t xml:space="preserve">    </w:t>
      </w:r>
    </w:p>
    <w:p>
      <w:pPr>
        <w:spacing w:line="360" w:lineRule="auto"/>
        <w:rPr>
          <w:rFonts w:ascii="宋体" w:hAnsi="宋体" w:cs="仿宋_GB2312"/>
          <w:b/>
          <w:color w:val="auto"/>
          <w:sz w:val="24"/>
          <w:highlight w:val="none"/>
          <w:u w:val="single"/>
        </w:rPr>
      </w:pPr>
    </w:p>
    <w:p>
      <w:pPr>
        <w:spacing w:line="360" w:lineRule="auto"/>
        <w:rPr>
          <w:rFonts w:ascii="宋体" w:hAnsi="宋体" w:cs="仿宋_GB2312"/>
          <w:color w:val="auto"/>
          <w:sz w:val="24"/>
          <w:highlight w:val="none"/>
        </w:rPr>
      </w:pPr>
    </w:p>
    <w:p>
      <w:pPr>
        <w:spacing w:line="360" w:lineRule="auto"/>
        <w:rPr>
          <w:rFonts w:ascii="宋体" w:hAnsi="宋体" w:cs="仿宋_GB2312"/>
          <w:b/>
          <w:color w:val="auto"/>
          <w:sz w:val="24"/>
          <w:highlight w:val="none"/>
          <w:u w:val="singl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jc w:val="center"/>
        <w:rPr>
          <w:rFonts w:ascii="宋体" w:hAnsi="宋体" w:cs="仿宋_GB2312"/>
          <w:color w:val="auto"/>
          <w:sz w:val="32"/>
          <w:szCs w:val="32"/>
          <w:highlight w:val="none"/>
        </w:rPr>
      </w:pPr>
      <w:r>
        <w:rPr>
          <w:rFonts w:hint="eastAsia" w:ascii="宋体" w:hAnsi="宋体" w:cs="仿宋_GB2312"/>
          <w:color w:val="auto"/>
          <w:sz w:val="32"/>
          <w:szCs w:val="32"/>
          <w:highlight w:val="none"/>
        </w:rPr>
        <w:t>日期：</w:t>
      </w:r>
      <w:r>
        <w:rPr>
          <w:rFonts w:hint="eastAsia" w:ascii="宋体" w:hAnsi="宋体" w:cs="仿宋_GB2312"/>
          <w:color w:val="auto"/>
          <w:sz w:val="32"/>
          <w:szCs w:val="32"/>
          <w:highlight w:val="none"/>
          <w:lang w:val="en-US" w:eastAsia="zh-CN"/>
        </w:rPr>
        <w:t xml:space="preserve"> 2024  </w:t>
      </w:r>
      <w:r>
        <w:rPr>
          <w:rFonts w:hint="eastAsia" w:ascii="宋体" w:hAnsi="宋体" w:cs="仿宋_GB2312"/>
          <w:color w:val="auto"/>
          <w:sz w:val="32"/>
          <w:szCs w:val="32"/>
          <w:highlight w:val="none"/>
        </w:rPr>
        <w:t>年</w:t>
      </w:r>
      <w:r>
        <w:rPr>
          <w:rFonts w:hint="eastAsia" w:ascii="宋体" w:hAnsi="宋体" w:cs="仿宋_GB2312"/>
          <w:color w:val="auto"/>
          <w:sz w:val="32"/>
          <w:szCs w:val="32"/>
          <w:highlight w:val="none"/>
          <w:lang w:val="en-US" w:eastAsia="zh-CN"/>
        </w:rPr>
        <w:t xml:space="preserve">  4  </w:t>
      </w:r>
      <w:r>
        <w:rPr>
          <w:rFonts w:hint="eastAsia" w:ascii="宋体" w:hAnsi="宋体" w:cs="仿宋_GB2312"/>
          <w:color w:val="auto"/>
          <w:sz w:val="32"/>
          <w:szCs w:val="32"/>
          <w:highlight w:val="none"/>
        </w:rPr>
        <w:t>月</w:t>
      </w:r>
    </w:p>
    <w:p>
      <w:pPr>
        <w:spacing w:line="480" w:lineRule="exact"/>
        <w:jc w:val="both"/>
        <w:rPr>
          <w:rFonts w:ascii="宋体" w:hAnsi="宋体" w:cs="仿宋_GB2312"/>
          <w:color w:val="auto"/>
          <w:sz w:val="32"/>
          <w:szCs w:val="32"/>
          <w:highlight w:val="none"/>
        </w:rPr>
      </w:pPr>
    </w:p>
    <w:p>
      <w:pPr>
        <w:pStyle w:val="9"/>
        <w:rPr>
          <w:color w:val="auto"/>
          <w:highlight w:val="none"/>
        </w:rPr>
      </w:pPr>
    </w:p>
    <w:p>
      <w:pPr>
        <w:widowControl/>
        <w:spacing w:line="480" w:lineRule="auto"/>
        <w:jc w:val="both"/>
        <w:rPr>
          <w:rFonts w:hint="eastAsia" w:ascii="黑体" w:hAnsi="黑体" w:eastAsia="黑体" w:cs="宋体"/>
          <w:b/>
          <w:color w:val="auto"/>
          <w:kern w:val="0"/>
          <w:sz w:val="32"/>
          <w:szCs w:val="32"/>
          <w:highlight w:val="none"/>
        </w:rPr>
      </w:pPr>
    </w:p>
    <w:p>
      <w:pPr>
        <w:widowControl/>
        <w:spacing w:line="480" w:lineRule="auto"/>
        <w:jc w:val="center"/>
        <w:rPr>
          <w:rFonts w:ascii="黑体" w:hAnsi="黑体" w:eastAsia="黑体" w:cs="宋体"/>
          <w:b/>
          <w:color w:val="auto"/>
          <w:kern w:val="0"/>
          <w:sz w:val="32"/>
          <w:szCs w:val="32"/>
          <w:highlight w:val="none"/>
        </w:rPr>
      </w:pPr>
      <w:r>
        <w:rPr>
          <w:rFonts w:hint="eastAsia" w:ascii="黑体" w:hAnsi="黑体" w:eastAsia="黑体" w:cs="宋体"/>
          <w:b/>
          <w:color w:val="auto"/>
          <w:kern w:val="0"/>
          <w:sz w:val="32"/>
          <w:szCs w:val="32"/>
          <w:highlight w:val="none"/>
        </w:rPr>
        <w:t>重  要  提  醒</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1.组织、领导、实施恶意竞标、围标、串标、虚假</w:t>
      </w:r>
      <w:r>
        <w:rPr>
          <w:rFonts w:hint="eastAsia" w:ascii="宋体" w:hAnsi="宋体" w:cs="宋体"/>
          <w:b/>
          <w:color w:val="auto"/>
          <w:kern w:val="0"/>
          <w:sz w:val="24"/>
          <w:highlight w:val="none"/>
          <w:lang w:val="en-US" w:eastAsia="zh-CN"/>
        </w:rPr>
        <w:t>应标</w:t>
      </w:r>
      <w:r>
        <w:rPr>
          <w:rFonts w:hint="eastAsia" w:ascii="宋体" w:hAnsi="宋体" w:cs="宋体"/>
          <w:b/>
          <w:color w:val="auto"/>
          <w:kern w:val="0"/>
          <w:sz w:val="24"/>
          <w:highlight w:val="none"/>
        </w:rPr>
        <w:t xml:space="preserve">、挂靠、出让资质等违法活动。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2.以暴力、威胁、利诱等手段强迫他人参与或者退出</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、拍卖以及强迫他人</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后放弃</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 xml:space="preserve">或转包的黑恶势力。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4.在</w:t>
      </w:r>
      <w:r>
        <w:rPr>
          <w:rFonts w:hint="eastAsia" w:ascii="宋体" w:hAnsi="宋体" w:cs="宋体"/>
          <w:b/>
          <w:color w:val="auto"/>
          <w:kern w:val="0"/>
          <w:sz w:val="24"/>
          <w:highlight w:val="none"/>
          <w:lang w:val="en-US" w:eastAsia="zh-CN"/>
        </w:rPr>
        <w:t>采购活动</w:t>
      </w:r>
      <w:r>
        <w:rPr>
          <w:rFonts w:hint="eastAsia" w:ascii="宋体" w:hAnsi="宋体" w:cs="宋体"/>
          <w:b/>
          <w:color w:val="auto"/>
          <w:kern w:val="0"/>
          <w:sz w:val="24"/>
          <w:highlight w:val="none"/>
        </w:rPr>
        <w:t xml:space="preserve">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5.伪造资质证书、证件、提供虚假材料进行</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 xml:space="preserve">，谋取不正当利益的违法行为。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6.采取贿赂、暴力、欺骗、威胁等手段干扰破坏招投标监管、服务人员以及</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正常工作的黑恶势力。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7.采取言语威胁、谈判协商、跟踪盯梢、散播隐私、造谣诽谤、持续骚扰等软暴力手段恐吓监管服务人员、</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及其家属的违法犯罪行为。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8.利诱、欺骗采购人违反相关规定按其意图设置</w:t>
      </w:r>
      <w:r>
        <w:rPr>
          <w:rFonts w:hint="eastAsia" w:ascii="宋体" w:hAnsi="宋体" w:cs="宋体"/>
          <w:b/>
          <w:color w:val="auto"/>
          <w:kern w:val="0"/>
          <w:sz w:val="24"/>
          <w:highlight w:val="none"/>
          <w:lang w:eastAsia="zh-CN"/>
        </w:rPr>
        <w:t>谈判 文件</w:t>
      </w:r>
      <w:r>
        <w:rPr>
          <w:rFonts w:hint="eastAsia" w:ascii="宋体" w:hAnsi="宋体" w:cs="宋体"/>
          <w:b/>
          <w:color w:val="auto"/>
          <w:kern w:val="0"/>
          <w:sz w:val="24"/>
          <w:highlight w:val="none"/>
        </w:rPr>
        <w:t xml:space="preserve">条款的违法违规行为。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9.窃取项目</w:t>
      </w:r>
      <w:r>
        <w:rPr>
          <w:rFonts w:hint="eastAsia" w:ascii="宋体" w:hAnsi="宋体" w:cs="宋体"/>
          <w:b/>
          <w:color w:val="auto"/>
          <w:kern w:val="0"/>
          <w:sz w:val="24"/>
          <w:highlight w:val="none"/>
          <w:lang w:eastAsia="zh-CN"/>
        </w:rPr>
        <w:t>响应人</w:t>
      </w:r>
      <w:r>
        <w:rPr>
          <w:rFonts w:hint="eastAsia" w:ascii="宋体" w:hAnsi="宋体" w:cs="宋体"/>
          <w:b/>
          <w:color w:val="auto"/>
          <w:kern w:val="0"/>
          <w:sz w:val="24"/>
          <w:highlight w:val="none"/>
        </w:rPr>
        <w:t>报名情况、</w:t>
      </w:r>
      <w:r>
        <w:rPr>
          <w:rFonts w:hint="eastAsia" w:ascii="宋体" w:hAnsi="宋体" w:cs="宋体"/>
          <w:b/>
          <w:color w:val="auto"/>
          <w:kern w:val="0"/>
          <w:sz w:val="24"/>
          <w:highlight w:val="none"/>
          <w:lang w:val="en-US" w:eastAsia="zh-CN"/>
        </w:rPr>
        <w:t>谈判小组成员</w:t>
      </w:r>
      <w:r>
        <w:rPr>
          <w:rFonts w:hint="eastAsia" w:ascii="宋体" w:hAnsi="宋体" w:cs="宋体"/>
          <w:b/>
          <w:color w:val="auto"/>
          <w:kern w:val="0"/>
          <w:sz w:val="24"/>
          <w:highlight w:val="none"/>
        </w:rPr>
        <w:t xml:space="preserve">等保密信息。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10.领导干部违反规定插手干预项目</w:t>
      </w:r>
      <w:r>
        <w:rPr>
          <w:rFonts w:hint="eastAsia" w:ascii="宋体" w:hAnsi="宋体" w:cs="宋体"/>
          <w:b/>
          <w:color w:val="auto"/>
          <w:kern w:val="0"/>
          <w:sz w:val="24"/>
          <w:highlight w:val="none"/>
          <w:lang w:val="en-US" w:eastAsia="zh-CN"/>
        </w:rPr>
        <w:t xml:space="preserve">谈判 </w:t>
      </w:r>
      <w:r>
        <w:rPr>
          <w:rFonts w:hint="eastAsia" w:ascii="宋体" w:hAnsi="宋体" w:cs="宋体"/>
          <w:b/>
          <w:color w:val="auto"/>
          <w:kern w:val="0"/>
          <w:sz w:val="24"/>
          <w:highlight w:val="none"/>
        </w:rPr>
        <w:t xml:space="preserve">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11.干部职工在</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活动中与黑恶势力勾结，充当保护伞。</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二、请各响应人认真阅读</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文件，对下述事项予以重视：</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1、请依据项目资格要求，自行核对营业执照合法有效。</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2、按照</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文件要求制作响应文件，响应文件创建标识码、文件制作机器码任一项一致的将不予通过</w:t>
      </w:r>
      <w:r>
        <w:rPr>
          <w:rFonts w:hint="eastAsia" w:ascii="宋体" w:hAnsi="宋体" w:cs="宋体"/>
          <w:b/>
          <w:color w:val="auto"/>
          <w:kern w:val="0"/>
          <w:sz w:val="24"/>
          <w:szCs w:val="24"/>
          <w:highlight w:val="none"/>
          <w:lang w:val="en-US" w:eastAsia="zh-CN"/>
        </w:rPr>
        <w:t>初审</w:t>
      </w:r>
      <w:r>
        <w:rPr>
          <w:rFonts w:hint="eastAsia" w:ascii="宋体" w:hAnsi="宋体" w:cs="宋体"/>
          <w:b/>
          <w:color w:val="auto"/>
          <w:kern w:val="0"/>
          <w:sz w:val="24"/>
          <w:szCs w:val="24"/>
          <w:highlight w:val="none"/>
        </w:rPr>
        <w:t>。</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3、对</w:t>
      </w:r>
      <w:r>
        <w:rPr>
          <w:rFonts w:hint="eastAsia" w:ascii="宋体" w:hAnsi="宋体" w:cs="宋体"/>
          <w:b/>
          <w:color w:val="auto"/>
          <w:kern w:val="0"/>
          <w:sz w:val="24"/>
          <w:szCs w:val="24"/>
          <w:highlight w:val="none"/>
          <w:lang w:val="en-US" w:eastAsia="zh-CN"/>
        </w:rPr>
        <w:t>谈判</w:t>
      </w:r>
      <w:r>
        <w:rPr>
          <w:rFonts w:hint="eastAsia" w:ascii="宋体" w:hAnsi="宋体" w:cs="宋体"/>
          <w:b/>
          <w:color w:val="auto"/>
          <w:kern w:val="0"/>
          <w:sz w:val="24"/>
          <w:szCs w:val="24"/>
          <w:highlight w:val="none"/>
        </w:rPr>
        <w:t>活动中可能发生的质疑、投诉行为，须依法在规定的时间内提出。</w:t>
      </w:r>
      <w:r>
        <w:rPr>
          <w:rFonts w:ascii="宋体" w:hAnsi="宋体" w:cs="宋体"/>
          <w:b/>
          <w:color w:val="auto"/>
          <w:kern w:val="0"/>
          <w:sz w:val="24"/>
          <w:szCs w:val="24"/>
          <w:highlight w:val="none"/>
        </w:rPr>
        <w:t xml:space="preserve">  </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4、本项目</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期间，供应商必须保证联系电话、电子邮箱通畅，因供应商通讯不畅造成的不利后果由供应商自行承担。</w:t>
      </w:r>
    </w:p>
    <w:p>
      <w:pPr>
        <w:widowControl/>
        <w:jc w:val="left"/>
        <w:rPr>
          <w:rFonts w:ascii="宋体" w:hAnsi="宋体" w:cs="宋体"/>
          <w:b/>
          <w:color w:val="auto"/>
          <w:sz w:val="36"/>
          <w:szCs w:val="36"/>
          <w:highlight w:val="none"/>
          <w:lang w:val="zh-CN"/>
        </w:rPr>
      </w:pPr>
      <w:r>
        <w:rPr>
          <w:rFonts w:ascii="宋体" w:hAnsi="宋体" w:cs="宋体"/>
          <w:b/>
          <w:color w:val="auto"/>
          <w:sz w:val="36"/>
          <w:szCs w:val="36"/>
          <w:highlight w:val="none"/>
          <w:lang w:val="zh-CN"/>
        </w:rPr>
        <w:br w:type="page"/>
      </w:r>
    </w:p>
    <w:p>
      <w:pPr>
        <w:spacing w:line="480" w:lineRule="exact"/>
        <w:jc w:val="center"/>
        <w:rPr>
          <w:rFonts w:hint="eastAsia" w:ascii="宋体" w:hAnsi="宋体" w:cs="宋体"/>
          <w:b/>
          <w:color w:val="auto"/>
          <w:sz w:val="36"/>
          <w:szCs w:val="36"/>
          <w:highlight w:val="none"/>
          <w:lang w:val="zh-CN"/>
        </w:rPr>
      </w:pPr>
      <w:r>
        <w:rPr>
          <w:rFonts w:hint="eastAsia" w:ascii="宋体" w:hAnsi="宋体" w:cs="宋体"/>
          <w:b/>
          <w:color w:val="auto"/>
          <w:sz w:val="36"/>
          <w:szCs w:val="36"/>
          <w:highlight w:val="none"/>
          <w:lang w:val="zh-CN"/>
        </w:rPr>
        <w:t>目</w:t>
      </w:r>
      <w:r>
        <w:rPr>
          <w:rFonts w:ascii="宋体" w:hAnsi="宋体" w:cs="宋体"/>
          <w:b/>
          <w:color w:val="auto"/>
          <w:sz w:val="36"/>
          <w:szCs w:val="36"/>
          <w:highlight w:val="none"/>
        </w:rPr>
        <w:t xml:space="preserve">    </w:t>
      </w:r>
      <w:r>
        <w:rPr>
          <w:rFonts w:hint="eastAsia" w:ascii="宋体" w:hAnsi="宋体" w:cs="宋体"/>
          <w:b/>
          <w:color w:val="auto"/>
          <w:sz w:val="36"/>
          <w:szCs w:val="36"/>
          <w:highlight w:val="none"/>
          <w:lang w:val="zh-CN"/>
        </w:rPr>
        <w:t>录</w:t>
      </w:r>
    </w:p>
    <w:p>
      <w:pPr>
        <w:pStyle w:val="76"/>
        <w:rPr>
          <w:color w:val="auto"/>
          <w:highlight w:val="none"/>
          <w:lang w:val="zh-CN"/>
        </w:rPr>
      </w:pPr>
    </w:p>
    <w:p>
      <w:pPr>
        <w:pStyle w:val="42"/>
        <w:tabs>
          <w:tab w:val="right" w:leader="dot" w:pos="9070"/>
        </w:tabs>
        <w:spacing w:line="360" w:lineRule="auto"/>
        <w:rPr>
          <w:color w:val="auto"/>
          <w:highlight w:val="none"/>
        </w:rPr>
      </w:pPr>
      <w:bookmarkStart w:id="0" w:name="_Toc21464"/>
      <w:bookmarkStart w:id="1" w:name="_Toc54941328"/>
      <w:bookmarkStart w:id="2" w:name="_Toc23467"/>
      <w:bookmarkStart w:id="3" w:name="_Toc439316870"/>
      <w:r>
        <w:rPr>
          <w:color w:val="auto"/>
          <w:sz w:val="28"/>
          <w:szCs w:val="28"/>
          <w:highlight w:val="none"/>
        </w:rPr>
        <w:fldChar w:fldCharType="begin"/>
      </w:r>
      <w:r>
        <w:rPr>
          <w:color w:val="auto"/>
          <w:sz w:val="28"/>
          <w:szCs w:val="28"/>
          <w:highlight w:val="none"/>
        </w:rPr>
        <w:instrText xml:space="preserve">TOC \o "1-1" \h \u </w:instrText>
      </w:r>
      <w:r>
        <w:rPr>
          <w:color w:val="auto"/>
          <w:sz w:val="28"/>
          <w:szCs w:val="28"/>
          <w:highlight w:val="none"/>
        </w:rPr>
        <w:fldChar w:fldCharType="separate"/>
      </w:r>
      <w:r>
        <w:rPr>
          <w:color w:val="auto"/>
          <w:szCs w:val="28"/>
          <w:highlight w:val="none"/>
        </w:rPr>
        <w:fldChar w:fldCharType="begin"/>
      </w:r>
      <w:r>
        <w:rPr>
          <w:color w:val="auto"/>
          <w:szCs w:val="28"/>
          <w:highlight w:val="none"/>
        </w:rPr>
        <w:instrText xml:space="preserve"> HYPERLINK \l _Toc7432 </w:instrText>
      </w:r>
      <w:r>
        <w:rPr>
          <w:color w:val="auto"/>
          <w:szCs w:val="28"/>
          <w:highlight w:val="none"/>
        </w:rPr>
        <w:fldChar w:fldCharType="separate"/>
      </w:r>
      <w:r>
        <w:rPr>
          <w:rFonts w:hint="eastAsia"/>
          <w:bCs/>
          <w:i w:val="0"/>
          <w:iCs/>
          <w:color w:val="auto"/>
          <w:szCs w:val="32"/>
          <w:highlight w:val="none"/>
        </w:rPr>
        <w:t>第一章</w:t>
      </w:r>
      <w:r>
        <w:rPr>
          <w:bCs/>
          <w:i w:val="0"/>
          <w:iCs/>
          <w:color w:val="auto"/>
          <w:szCs w:val="32"/>
          <w:highlight w:val="none"/>
        </w:rPr>
        <w:t xml:space="preserve">  </w:t>
      </w:r>
      <w:r>
        <w:rPr>
          <w:rFonts w:hint="eastAsia"/>
          <w:bCs/>
          <w:i w:val="0"/>
          <w:iCs/>
          <w:color w:val="auto"/>
          <w:szCs w:val="32"/>
          <w:highlight w:val="none"/>
          <w:lang w:val="en-US" w:eastAsia="zh-CN"/>
        </w:rPr>
        <w:t>谈判邀请（谈判</w:t>
      </w:r>
      <w:r>
        <w:rPr>
          <w:rFonts w:hint="eastAsia"/>
          <w:bCs/>
          <w:i w:val="0"/>
          <w:iCs/>
          <w:color w:val="auto"/>
          <w:szCs w:val="32"/>
          <w:highlight w:val="none"/>
        </w:rPr>
        <w:t>公告</w:t>
      </w:r>
      <w:r>
        <w:rPr>
          <w:rFonts w:hint="eastAsia"/>
          <w:bCs/>
          <w:i w:val="0"/>
          <w:iCs/>
          <w:color w:val="auto"/>
          <w:szCs w:val="32"/>
          <w:highlight w:val="none"/>
          <w:lang w:eastAsia="zh-CN"/>
        </w:rPr>
        <w:t>）</w:t>
      </w:r>
      <w:r>
        <w:rPr>
          <w:color w:val="auto"/>
          <w:highlight w:val="none"/>
        </w:rPr>
        <w:tab/>
      </w:r>
      <w:r>
        <w:rPr>
          <w:color w:val="auto"/>
          <w:highlight w:val="none"/>
        </w:rPr>
        <w:fldChar w:fldCharType="begin"/>
      </w:r>
      <w:r>
        <w:rPr>
          <w:color w:val="auto"/>
          <w:highlight w:val="none"/>
        </w:rPr>
        <w:instrText xml:space="preserve"> PAGEREF _Toc7432 \h </w:instrText>
      </w:r>
      <w:r>
        <w:rPr>
          <w:color w:val="auto"/>
          <w:highlight w:val="none"/>
        </w:rPr>
        <w:fldChar w:fldCharType="separate"/>
      </w:r>
      <w:r>
        <w:rPr>
          <w:color w:val="auto"/>
          <w:highlight w:val="none"/>
        </w:rPr>
        <w:t>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_Toc11266 </w:instrText>
      </w:r>
      <w:r>
        <w:rPr>
          <w:color w:val="auto"/>
          <w:szCs w:val="28"/>
          <w:highlight w:val="none"/>
        </w:rPr>
        <w:fldChar w:fldCharType="separate"/>
      </w:r>
      <w:r>
        <w:rPr>
          <w:rFonts w:hint="eastAsia" w:ascii="Arial" w:hAnsi="Arial"/>
          <w:color w:val="auto"/>
          <w:kern w:val="2"/>
          <w:szCs w:val="32"/>
          <w:highlight w:val="none"/>
        </w:rPr>
        <w:t>第二章</w:t>
      </w:r>
      <w:r>
        <w:rPr>
          <w:rFonts w:ascii="Arial" w:hAnsi="Arial"/>
          <w:color w:val="auto"/>
          <w:kern w:val="2"/>
          <w:szCs w:val="32"/>
          <w:highlight w:val="none"/>
        </w:rPr>
        <w:t xml:space="preserve">  </w:t>
      </w:r>
      <w:r>
        <w:rPr>
          <w:rFonts w:hint="eastAsia" w:ascii="Arial" w:hAnsi="Arial"/>
          <w:color w:val="auto"/>
          <w:kern w:val="2"/>
          <w:szCs w:val="32"/>
          <w:highlight w:val="none"/>
          <w:lang w:val="en-US" w:eastAsia="zh-CN"/>
        </w:rPr>
        <w:t>竞争性谈判</w:t>
      </w:r>
      <w:r>
        <w:rPr>
          <w:rFonts w:hint="eastAsia" w:ascii="Arial" w:hAnsi="Arial"/>
          <w:color w:val="auto"/>
          <w:kern w:val="2"/>
          <w:szCs w:val="32"/>
          <w:highlight w:val="none"/>
        </w:rPr>
        <w:t>须知</w:t>
      </w:r>
      <w:r>
        <w:rPr>
          <w:color w:val="auto"/>
          <w:highlight w:val="none"/>
        </w:rPr>
        <w:tab/>
      </w:r>
      <w:r>
        <w:rPr>
          <w:color w:val="auto"/>
          <w:highlight w:val="none"/>
        </w:rPr>
        <w:fldChar w:fldCharType="begin"/>
      </w:r>
      <w:r>
        <w:rPr>
          <w:color w:val="auto"/>
          <w:highlight w:val="none"/>
        </w:rPr>
        <w:instrText xml:space="preserve"> PAGEREF _Toc11266 \h </w:instrText>
      </w:r>
      <w:r>
        <w:rPr>
          <w:color w:val="auto"/>
          <w:highlight w:val="none"/>
        </w:rPr>
        <w:fldChar w:fldCharType="separate"/>
      </w:r>
      <w:r>
        <w:rPr>
          <w:color w:val="auto"/>
          <w:highlight w:val="none"/>
        </w:rPr>
        <w:t>5</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_Toc12353 </w:instrText>
      </w:r>
      <w:r>
        <w:rPr>
          <w:color w:val="auto"/>
          <w:szCs w:val="28"/>
          <w:highlight w:val="none"/>
        </w:rPr>
        <w:fldChar w:fldCharType="separate"/>
      </w:r>
      <w:r>
        <w:rPr>
          <w:rFonts w:hint="eastAsia" w:ascii="Arial" w:hAnsi="Arial"/>
          <w:bCs/>
          <w:color w:val="auto"/>
          <w:kern w:val="2"/>
          <w:szCs w:val="32"/>
          <w:highlight w:val="none"/>
          <w:lang w:val="en-US" w:eastAsia="zh-CN"/>
        </w:rPr>
        <w:t xml:space="preserve">第三章 </w:t>
      </w:r>
      <w:r>
        <w:rPr>
          <w:rFonts w:hint="eastAsia" w:ascii="Arial" w:hAnsi="Arial"/>
          <w:color w:val="auto"/>
          <w:kern w:val="2"/>
          <w:szCs w:val="32"/>
          <w:highlight w:val="none"/>
          <w:lang w:val="en-US" w:eastAsia="zh-CN"/>
        </w:rPr>
        <w:t xml:space="preserve"> </w:t>
      </w:r>
      <w:r>
        <w:rPr>
          <w:rFonts w:hint="eastAsia" w:ascii="宋体" w:hAnsi="宋体" w:cs="宋体"/>
          <w:bCs w:val="0"/>
          <w:color w:val="auto"/>
          <w:szCs w:val="30"/>
          <w:highlight w:val="none"/>
          <w:lang w:val="en-US" w:eastAsia="zh-CN"/>
        </w:rPr>
        <w:t>采购需求</w:t>
      </w:r>
      <w:r>
        <w:rPr>
          <w:color w:val="auto"/>
          <w:highlight w:val="none"/>
        </w:rPr>
        <w:tab/>
      </w:r>
      <w:r>
        <w:rPr>
          <w:color w:val="auto"/>
          <w:highlight w:val="none"/>
        </w:rPr>
        <w:fldChar w:fldCharType="begin"/>
      </w:r>
      <w:r>
        <w:rPr>
          <w:color w:val="auto"/>
          <w:highlight w:val="none"/>
        </w:rPr>
        <w:instrText xml:space="preserve"> PAGEREF _Toc12353 \h </w:instrText>
      </w:r>
      <w:r>
        <w:rPr>
          <w:color w:val="auto"/>
          <w:highlight w:val="none"/>
        </w:rPr>
        <w:fldChar w:fldCharType="separate"/>
      </w:r>
      <w:r>
        <w:rPr>
          <w:color w:val="auto"/>
          <w:highlight w:val="none"/>
        </w:rPr>
        <w:t>26</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_Toc16371 </w:instrText>
      </w:r>
      <w:r>
        <w:rPr>
          <w:color w:val="auto"/>
          <w:szCs w:val="28"/>
          <w:highlight w:val="none"/>
        </w:rPr>
        <w:fldChar w:fldCharType="separate"/>
      </w:r>
      <w:r>
        <w:rPr>
          <w:rFonts w:hint="eastAsia" w:ascii="Arial" w:hAnsi="Arial"/>
          <w:color w:val="auto"/>
          <w:kern w:val="2"/>
          <w:szCs w:val="32"/>
          <w:highlight w:val="none"/>
          <w:lang w:val="en-US" w:eastAsia="zh-CN"/>
        </w:rPr>
        <w:t>第四章  评</w:t>
      </w:r>
      <w:r>
        <w:rPr>
          <w:rFonts w:hint="eastAsia" w:ascii="Arial" w:hAnsi="Arial"/>
          <w:strike w:val="0"/>
          <w:dstrike w:val="0"/>
          <w:color w:val="auto"/>
          <w:kern w:val="2"/>
          <w:szCs w:val="32"/>
          <w:highlight w:val="none"/>
          <w:lang w:val="en-US" w:eastAsia="zh-CN"/>
        </w:rPr>
        <w:t>审方</w:t>
      </w:r>
      <w:r>
        <w:rPr>
          <w:rFonts w:hint="eastAsia" w:ascii="Arial" w:hAnsi="Arial"/>
          <w:color w:val="auto"/>
          <w:kern w:val="2"/>
          <w:szCs w:val="32"/>
          <w:highlight w:val="none"/>
          <w:lang w:val="en-US" w:eastAsia="zh-CN"/>
        </w:rPr>
        <w:t>法与标准</w:t>
      </w:r>
      <w:r>
        <w:rPr>
          <w:color w:val="auto"/>
          <w:highlight w:val="none"/>
        </w:rPr>
        <w:tab/>
      </w:r>
      <w:r>
        <w:rPr>
          <w:color w:val="auto"/>
          <w:highlight w:val="none"/>
        </w:rPr>
        <w:fldChar w:fldCharType="begin"/>
      </w:r>
      <w:r>
        <w:rPr>
          <w:color w:val="auto"/>
          <w:highlight w:val="none"/>
        </w:rPr>
        <w:instrText xml:space="preserve"> PAGEREF _Toc16371 \h </w:instrText>
      </w:r>
      <w:r>
        <w:rPr>
          <w:color w:val="auto"/>
          <w:highlight w:val="none"/>
        </w:rPr>
        <w:fldChar w:fldCharType="separate"/>
      </w:r>
      <w:r>
        <w:rPr>
          <w:color w:val="auto"/>
          <w:highlight w:val="none"/>
        </w:rPr>
        <w:t>27</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_Toc27586 </w:instrText>
      </w:r>
      <w:r>
        <w:rPr>
          <w:color w:val="auto"/>
          <w:szCs w:val="28"/>
          <w:highlight w:val="none"/>
        </w:rPr>
        <w:fldChar w:fldCharType="separate"/>
      </w:r>
      <w:r>
        <w:rPr>
          <w:rFonts w:hint="eastAsia"/>
          <w:color w:val="auto"/>
          <w:highlight w:val="none"/>
          <w:lang w:val="en-US" w:eastAsia="zh-CN"/>
        </w:rPr>
        <w:t xml:space="preserve">第五章  </w:t>
      </w:r>
      <w:r>
        <w:rPr>
          <w:rFonts w:hint="eastAsia"/>
          <w:color w:val="auto"/>
          <w:highlight w:val="none"/>
        </w:rPr>
        <w:t>政府采购合同主要条款</w:t>
      </w:r>
      <w:r>
        <w:rPr>
          <w:color w:val="auto"/>
          <w:highlight w:val="none"/>
        </w:rPr>
        <w:tab/>
      </w:r>
      <w:r>
        <w:rPr>
          <w:rFonts w:hint="eastAsia"/>
          <w:color w:val="auto"/>
          <w:highlight w:val="none"/>
          <w:lang w:val="en-US" w:eastAsia="zh-CN"/>
        </w:rPr>
        <w:t>3</w:t>
      </w:r>
      <w:r>
        <w:rPr>
          <w:color w:val="auto"/>
          <w:szCs w:val="28"/>
          <w:highlight w:val="none"/>
        </w:rPr>
        <w:fldChar w:fldCharType="end"/>
      </w:r>
      <w:r>
        <w:rPr>
          <w:rFonts w:hint="eastAsia"/>
          <w:color w:val="auto"/>
          <w:szCs w:val="28"/>
          <w:highlight w:val="none"/>
          <w:lang w:val="en-US" w:eastAsia="zh-CN"/>
        </w:rPr>
        <w:t>0</w:t>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_Toc1812 </w:instrText>
      </w:r>
      <w:r>
        <w:rPr>
          <w:color w:val="auto"/>
          <w:szCs w:val="28"/>
          <w:highlight w:val="none"/>
        </w:rPr>
        <w:fldChar w:fldCharType="separate"/>
      </w:r>
      <w:r>
        <w:rPr>
          <w:rFonts w:hint="eastAsia" w:ascii="Arial" w:hAnsi="Arial"/>
          <w:color w:val="auto"/>
          <w:kern w:val="2"/>
          <w:szCs w:val="36"/>
          <w:highlight w:val="none"/>
          <w:lang w:val="zh-CN"/>
        </w:rPr>
        <w:t>第</w:t>
      </w:r>
      <w:r>
        <w:rPr>
          <w:rFonts w:hint="eastAsia" w:ascii="Arial" w:hAnsi="Arial"/>
          <w:color w:val="auto"/>
          <w:kern w:val="2"/>
          <w:szCs w:val="36"/>
          <w:highlight w:val="none"/>
          <w:lang w:val="en-US" w:eastAsia="zh-CN"/>
        </w:rPr>
        <w:t>六</w:t>
      </w:r>
      <w:r>
        <w:rPr>
          <w:rFonts w:hint="eastAsia" w:ascii="Arial" w:hAnsi="Arial"/>
          <w:color w:val="auto"/>
          <w:kern w:val="2"/>
          <w:szCs w:val="36"/>
          <w:highlight w:val="none"/>
          <w:lang w:val="zh-CN"/>
        </w:rPr>
        <w:t>章</w:t>
      </w:r>
      <w:r>
        <w:rPr>
          <w:rFonts w:ascii="Arial" w:hAnsi="Arial"/>
          <w:color w:val="auto"/>
          <w:kern w:val="2"/>
          <w:szCs w:val="36"/>
          <w:highlight w:val="none"/>
          <w:lang w:val="zh-CN"/>
        </w:rPr>
        <w:t xml:space="preserve">  </w:t>
      </w:r>
      <w:r>
        <w:rPr>
          <w:rFonts w:hint="eastAsia" w:ascii="Arial" w:hAnsi="Arial"/>
          <w:color w:val="auto"/>
          <w:kern w:val="2"/>
          <w:szCs w:val="36"/>
          <w:highlight w:val="none"/>
        </w:rPr>
        <w:t>响应文件格式</w:t>
      </w:r>
      <w:r>
        <w:rPr>
          <w:color w:val="auto"/>
          <w:highlight w:val="none"/>
        </w:rPr>
        <w:tab/>
      </w:r>
      <w:r>
        <w:rPr>
          <w:color w:val="auto"/>
          <w:highlight w:val="none"/>
        </w:rPr>
        <w:fldChar w:fldCharType="begin"/>
      </w:r>
      <w:r>
        <w:rPr>
          <w:color w:val="auto"/>
          <w:highlight w:val="none"/>
        </w:rPr>
        <w:instrText xml:space="preserve"> PAGEREF _Toc1812 \h </w:instrText>
      </w:r>
      <w:r>
        <w:rPr>
          <w:color w:val="auto"/>
          <w:highlight w:val="none"/>
        </w:rPr>
        <w:fldChar w:fldCharType="separate"/>
      </w:r>
      <w:r>
        <w:rPr>
          <w:color w:val="auto"/>
          <w:highlight w:val="none"/>
        </w:rPr>
        <w:t>41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_Toc2700 </w:instrText>
      </w:r>
      <w:r>
        <w:rPr>
          <w:color w:val="auto"/>
          <w:szCs w:val="28"/>
          <w:highlight w:val="none"/>
        </w:rPr>
        <w:fldChar w:fldCharType="separate"/>
      </w:r>
      <w:r>
        <w:rPr>
          <w:rFonts w:hint="eastAsia"/>
          <w:color w:val="auto"/>
          <w:highlight w:val="none"/>
          <w:lang w:val="en-US" w:eastAsia="zh-CN"/>
        </w:rPr>
        <w:t xml:space="preserve">第七章  </w:t>
      </w:r>
      <w:r>
        <w:rPr>
          <w:rFonts w:hint="eastAsia"/>
          <w:color w:val="auto"/>
          <w:highlight w:val="none"/>
        </w:rPr>
        <w:t>政府采购供应商质疑函范本</w:t>
      </w:r>
      <w:r>
        <w:rPr>
          <w:color w:val="auto"/>
          <w:highlight w:val="none"/>
        </w:rPr>
        <w:tab/>
      </w:r>
      <w:r>
        <w:rPr>
          <w:color w:val="auto"/>
          <w:highlight w:val="none"/>
        </w:rPr>
        <w:fldChar w:fldCharType="begin"/>
      </w:r>
      <w:r>
        <w:rPr>
          <w:color w:val="auto"/>
          <w:highlight w:val="none"/>
        </w:rPr>
        <w:instrText xml:space="preserve"> PAGEREF _Toc2700 \h </w:instrText>
      </w:r>
      <w:r>
        <w:rPr>
          <w:color w:val="auto"/>
          <w:highlight w:val="none"/>
        </w:rPr>
        <w:fldChar w:fldCharType="separate"/>
      </w:r>
      <w:r>
        <w:rPr>
          <w:color w:val="auto"/>
          <w:highlight w:val="none"/>
        </w:rPr>
        <w:t>59</w:t>
      </w:r>
      <w:r>
        <w:rPr>
          <w:color w:val="auto"/>
          <w:highlight w:val="none"/>
        </w:rPr>
        <w:fldChar w:fldCharType="end"/>
      </w:r>
      <w:r>
        <w:rPr>
          <w:color w:val="auto"/>
          <w:szCs w:val="28"/>
          <w:highlight w:val="none"/>
        </w:rPr>
        <w:fldChar w:fldCharType="end"/>
      </w:r>
    </w:p>
    <w:p>
      <w:pPr>
        <w:pStyle w:val="31"/>
        <w:tabs>
          <w:tab w:val="right" w:leader="dot" w:pos="9060"/>
        </w:tabs>
        <w:spacing w:line="360" w:lineRule="auto"/>
        <w:rPr>
          <w:color w:val="auto"/>
          <w:szCs w:val="21"/>
          <w:highlight w:val="none"/>
        </w:rPr>
        <w:sectPr>
          <w:footerReference r:id="rId3" w:type="default"/>
          <w:pgSz w:w="11906" w:h="16838"/>
          <w:pgMar w:top="1418" w:right="1418" w:bottom="1418" w:left="1418" w:header="851" w:footer="680" w:gutter="0"/>
          <w:pgNumType w:fmt="koreanDigital" w:start="0"/>
          <w:cols w:space="720" w:num="1"/>
          <w:docGrid w:linePitch="290" w:charSpace="0"/>
        </w:sectPr>
      </w:pPr>
      <w:r>
        <w:rPr>
          <w:color w:val="auto"/>
          <w:szCs w:val="28"/>
          <w:highlight w:val="none"/>
        </w:rPr>
        <w:fldChar w:fldCharType="end"/>
      </w:r>
    </w:p>
    <w:p>
      <w:pPr>
        <w:pStyle w:val="31"/>
        <w:tabs>
          <w:tab w:val="right" w:leader="dot" w:pos="9060"/>
        </w:tabs>
        <w:spacing w:line="360" w:lineRule="auto"/>
        <w:jc w:val="center"/>
        <w:outlineLvl w:val="0"/>
        <w:rPr>
          <w:rFonts w:hint="eastAsia" w:ascii="Arial" w:hAnsi="Arial" w:eastAsia="宋体"/>
          <w:b/>
          <w:bCs/>
          <w:i w:val="0"/>
          <w:iCs/>
          <w:color w:val="auto"/>
          <w:sz w:val="32"/>
          <w:szCs w:val="32"/>
          <w:highlight w:val="none"/>
          <w:lang w:eastAsia="zh-CN"/>
        </w:rPr>
      </w:pPr>
      <w:bookmarkStart w:id="4" w:name="_Toc7432"/>
      <w:r>
        <w:rPr>
          <w:rFonts w:hint="eastAsia"/>
          <w:b/>
          <w:bCs/>
          <w:i w:val="0"/>
          <w:iCs/>
          <w:color w:val="auto"/>
          <w:sz w:val="32"/>
          <w:szCs w:val="32"/>
          <w:highlight w:val="none"/>
        </w:rPr>
        <w:t>第一章</w:t>
      </w:r>
      <w:r>
        <w:rPr>
          <w:b/>
          <w:bCs/>
          <w:i w:val="0"/>
          <w:iCs/>
          <w:color w:val="auto"/>
          <w:sz w:val="32"/>
          <w:szCs w:val="32"/>
          <w:highlight w:val="none"/>
        </w:rPr>
        <w:t xml:space="preserve">   </w:t>
      </w:r>
      <w:bookmarkEnd w:id="0"/>
      <w:bookmarkEnd w:id="1"/>
      <w:bookmarkEnd w:id="2"/>
      <w:bookmarkEnd w:id="4"/>
      <w:r>
        <w:rPr>
          <w:rFonts w:hint="eastAsia"/>
          <w:b/>
          <w:bCs/>
          <w:i w:val="0"/>
          <w:iCs/>
          <w:color w:val="auto"/>
          <w:sz w:val="32"/>
          <w:szCs w:val="32"/>
          <w:highlight w:val="none"/>
          <w:lang w:val="en-US" w:eastAsia="zh-CN"/>
        </w:rPr>
        <w:t>谈判</w:t>
      </w:r>
      <w:r>
        <w:rPr>
          <w:rFonts w:hint="eastAsia"/>
          <w:b/>
          <w:bCs/>
          <w:i w:val="0"/>
          <w:iCs/>
          <w:color w:val="auto"/>
          <w:sz w:val="32"/>
          <w:szCs w:val="32"/>
          <w:highlight w:val="none"/>
        </w:rPr>
        <w:t>公告</w:t>
      </w:r>
    </w:p>
    <w:p>
      <w:pPr>
        <w:jc w:val="center"/>
        <w:rPr>
          <w:rFonts w:ascii="华文中宋" w:hAnsi="华文中宋" w:eastAsia="华文中宋"/>
          <w:b w:val="0"/>
          <w:bCs w:val="0"/>
          <w:color w:val="auto"/>
          <w:kern w:val="44"/>
          <w:sz w:val="32"/>
          <w:szCs w:val="32"/>
          <w:highlight w:val="none"/>
        </w:rPr>
      </w:pPr>
      <w:bookmarkStart w:id="5" w:name="_Toc28359011"/>
      <w:bookmarkStart w:id="6" w:name="_Toc35393797"/>
      <w:r>
        <w:rPr>
          <w:rFonts w:hint="eastAsia" w:ascii="华文中宋" w:hAnsi="华文中宋" w:eastAsia="华文中宋"/>
          <w:b w:val="0"/>
          <w:bCs w:val="0"/>
          <w:color w:val="auto"/>
          <w:kern w:val="44"/>
          <w:sz w:val="32"/>
          <w:szCs w:val="32"/>
          <w:highlight w:val="none"/>
          <w:lang w:val="en-US" w:eastAsia="zh-CN"/>
        </w:rPr>
        <w:t xml:space="preserve">  项目</w:t>
      </w:r>
      <w:r>
        <w:rPr>
          <w:rFonts w:hint="eastAsia" w:ascii="华文中宋" w:hAnsi="华文中宋" w:eastAsia="华文中宋"/>
          <w:b w:val="0"/>
          <w:bCs w:val="0"/>
          <w:color w:val="auto"/>
          <w:kern w:val="44"/>
          <w:sz w:val="32"/>
          <w:szCs w:val="32"/>
          <w:highlight w:val="none"/>
        </w:rPr>
        <w:t>竞争性</w:t>
      </w:r>
      <w:r>
        <w:rPr>
          <w:rFonts w:hint="eastAsia" w:ascii="华文中宋" w:hAnsi="华文中宋" w:eastAsia="华文中宋"/>
          <w:b w:val="0"/>
          <w:bCs w:val="0"/>
          <w:color w:val="auto"/>
          <w:kern w:val="44"/>
          <w:sz w:val="32"/>
          <w:szCs w:val="32"/>
          <w:highlight w:val="none"/>
          <w:lang w:val="en-US" w:eastAsia="zh-CN"/>
        </w:rPr>
        <w:t>谈判</w:t>
      </w:r>
      <w:r>
        <w:rPr>
          <w:rFonts w:hint="eastAsia" w:ascii="华文中宋" w:hAnsi="华文中宋" w:eastAsia="华文中宋"/>
          <w:b w:val="0"/>
          <w:bCs w:val="0"/>
          <w:color w:val="auto"/>
          <w:kern w:val="44"/>
          <w:sz w:val="32"/>
          <w:szCs w:val="32"/>
          <w:highlight w:val="none"/>
        </w:rPr>
        <w:t>公告</w:t>
      </w:r>
      <w:bookmarkEnd w:id="5"/>
      <w:bookmarkEnd w:id="6"/>
    </w:p>
    <w:tbl>
      <w:tblPr>
        <w:tblStyle w:val="6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color w:val="333333"/>
                <w:sz w:val="27"/>
                <w:szCs w:val="27"/>
              </w:rPr>
            </w:pPr>
            <w:r>
              <w:rPr>
                <w:rFonts w:ascii="仿宋" w:hAnsi="仿宋" w:eastAsia="仿宋" w:cs="仿宋"/>
                <w:color w:val="333333"/>
                <w:kern w:val="0"/>
                <w:sz w:val="27"/>
                <w:szCs w:val="27"/>
                <w:lang w:val="en-US" w:eastAsia="zh-CN" w:bidi="ar"/>
              </w:rPr>
              <w:t>项目概况</w:t>
            </w:r>
          </w:p>
          <w:p>
            <w:pPr>
              <w:ind w:firstLine="810" w:firstLineChars="300"/>
              <w:rPr>
                <w:color w:val="auto"/>
                <w:highlight w:val="none"/>
              </w:rPr>
            </w:pPr>
            <w:r>
              <w:rPr>
                <w:rFonts w:hint="eastAsia" w:ascii="仿宋" w:hAnsi="仿宋" w:eastAsia="仿宋" w:cs="仿宋"/>
                <w:color w:val="333333"/>
                <w:kern w:val="0"/>
                <w:sz w:val="27"/>
                <w:szCs w:val="27"/>
                <w:u w:val="single"/>
                <w:lang w:val="en-US" w:eastAsia="zh-CN" w:bidi="ar"/>
              </w:rPr>
              <w:t> 桐城师范高等专科学校2024-2025年度水暖维修耗材采购项目（三次）</w:t>
            </w:r>
            <w:r>
              <w:rPr>
                <w:rFonts w:hint="eastAsia" w:ascii="仿宋" w:hAnsi="仿宋" w:eastAsia="仿宋" w:cs="仿宋"/>
                <w:color w:val="333333"/>
                <w:kern w:val="0"/>
                <w:sz w:val="27"/>
                <w:szCs w:val="27"/>
                <w:lang w:val="en-US" w:eastAsia="zh-CN" w:bidi="ar"/>
              </w:rPr>
              <w:t>的潜在供应商应在桐城师范高等专科学校官网获取采购文件，并于2024年4月22日9时00分（北京时间）前提交响应文件。</w:t>
            </w:r>
            <w:r>
              <w:rPr>
                <w:rFonts w:asciiTheme="minorHAnsi" w:hAnsiTheme="minorHAnsi" w:eastAsiaTheme="minorEastAsia" w:cstheme="minorBidi"/>
                <w:color w:val="333333"/>
                <w:kern w:val="0"/>
                <w:sz w:val="27"/>
                <w:szCs w:val="27"/>
                <w:lang w:val="en-US" w:eastAsia="zh-CN" w:bidi="ar"/>
              </w:rPr>
              <w:t> </w:t>
            </w:r>
          </w:p>
        </w:tc>
      </w:tr>
    </w:tbl>
    <w:p>
      <w:pPr>
        <w:rPr>
          <w:color w:val="auto"/>
          <w:szCs w:val="21"/>
          <w:highlight w:val="none"/>
        </w:rPr>
      </w:pPr>
    </w:p>
    <w:p>
      <w:pPr>
        <w:rPr>
          <w:rFonts w:ascii="黑体" w:hAnsi="黑体" w:eastAsia="黑体" w:cs="宋体"/>
          <w:bCs/>
          <w:color w:val="auto"/>
          <w:sz w:val="28"/>
          <w:szCs w:val="28"/>
          <w:highlight w:val="none"/>
        </w:rPr>
      </w:pPr>
      <w:bookmarkStart w:id="7" w:name="_Toc28359012"/>
      <w:bookmarkStart w:id="8" w:name="_Toc35393798"/>
      <w:bookmarkStart w:id="9" w:name="_Toc35393629"/>
      <w:bookmarkStart w:id="10" w:name="_Toc28359089"/>
      <w:r>
        <w:rPr>
          <w:rFonts w:hint="eastAsia" w:ascii="黑体" w:hAnsi="黑体" w:eastAsia="黑体" w:cs="宋体"/>
          <w:bCs/>
          <w:color w:val="auto"/>
          <w:sz w:val="28"/>
          <w:szCs w:val="28"/>
          <w:highlight w:val="none"/>
        </w:rPr>
        <w:t>一、项目基本情况</w:t>
      </w:r>
      <w:bookmarkEnd w:id="7"/>
      <w:bookmarkEnd w:id="8"/>
      <w:bookmarkEnd w:id="9"/>
      <w:bookmarkEnd w:id="10"/>
    </w:p>
    <w:p>
      <w:pPr>
        <w:ind w:firstLine="565" w:firstLineChars="202"/>
        <w:rPr>
          <w:rFonts w:hint="eastAsia" w:ascii="仿宋" w:hAnsi="仿宋" w:eastAsia="仿宋" w:cs="Times New Roman"/>
          <w:color w:val="auto"/>
          <w:sz w:val="28"/>
          <w:szCs w:val="28"/>
          <w:highlight w:val="none"/>
          <w:lang w:eastAsia="zh-CN"/>
        </w:rPr>
      </w:pPr>
      <w:r>
        <w:rPr>
          <w:rFonts w:hint="eastAsia" w:ascii="仿宋" w:hAnsi="仿宋" w:eastAsia="仿宋" w:cs="Times New Roman"/>
          <w:color w:val="auto"/>
          <w:sz w:val="28"/>
          <w:szCs w:val="28"/>
          <w:highlight w:val="none"/>
          <w:lang w:eastAsia="zh-CN"/>
        </w:rPr>
        <w:t>项目编号：TCSZCG(202</w:t>
      </w:r>
      <w:r>
        <w:rPr>
          <w:rFonts w:hint="eastAsia" w:ascii="仿宋" w:hAnsi="仿宋" w:eastAsia="仿宋" w:cs="Times New Roman"/>
          <w:color w:val="auto"/>
          <w:sz w:val="28"/>
          <w:szCs w:val="28"/>
          <w:highlight w:val="none"/>
          <w:lang w:val="en-US" w:eastAsia="zh-CN"/>
        </w:rPr>
        <w:t>4</w:t>
      </w:r>
      <w:r>
        <w:rPr>
          <w:rFonts w:hint="eastAsia" w:ascii="仿宋" w:hAnsi="仿宋" w:eastAsia="仿宋" w:cs="Times New Roman"/>
          <w:color w:val="auto"/>
          <w:sz w:val="28"/>
          <w:szCs w:val="28"/>
          <w:highlight w:val="none"/>
          <w:lang w:eastAsia="zh-CN"/>
        </w:rPr>
        <w:t xml:space="preserve">) </w:t>
      </w:r>
      <w:r>
        <w:rPr>
          <w:rFonts w:hint="eastAsia" w:ascii="仿宋" w:hAnsi="仿宋" w:eastAsia="仿宋" w:cs="Times New Roman"/>
          <w:color w:val="auto"/>
          <w:sz w:val="28"/>
          <w:szCs w:val="28"/>
          <w:highlight w:val="none"/>
          <w:lang w:val="en-US" w:eastAsia="zh-CN"/>
        </w:rPr>
        <w:t>005</w:t>
      </w:r>
      <w:r>
        <w:rPr>
          <w:rFonts w:hint="eastAsia" w:ascii="仿宋" w:hAnsi="仿宋" w:eastAsia="仿宋" w:cs="Times New Roman"/>
          <w:color w:val="auto"/>
          <w:sz w:val="28"/>
          <w:szCs w:val="28"/>
          <w:highlight w:val="none"/>
          <w:lang w:eastAsia="zh-CN"/>
        </w:rPr>
        <w:t>号</w:t>
      </w:r>
    </w:p>
    <w:p>
      <w:pPr>
        <w:ind w:firstLine="565" w:firstLineChars="202"/>
        <w:rPr>
          <w:rFonts w:hint="default"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eastAsia="zh-CN"/>
        </w:rPr>
        <w:t>项目名称：</w:t>
      </w:r>
      <w:r>
        <w:rPr>
          <w:rFonts w:hint="eastAsia" w:ascii="仿宋" w:hAnsi="仿宋" w:eastAsia="仿宋" w:cs="Times New Roman"/>
          <w:color w:val="auto"/>
          <w:sz w:val="28"/>
          <w:szCs w:val="28"/>
          <w:highlight w:val="none"/>
          <w:lang w:val="en-US" w:eastAsia="zh-CN"/>
        </w:rPr>
        <w:t>桐城师范高等专科学校2024-2025年度水暖维修耗材采购（三次）</w:t>
      </w:r>
    </w:p>
    <w:p>
      <w:pPr>
        <w:ind w:firstLine="565" w:firstLineChars="202"/>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采购方式：竞争性</w:t>
      </w:r>
      <w:r>
        <w:rPr>
          <w:rFonts w:hint="eastAsia" w:ascii="仿宋" w:hAnsi="仿宋" w:eastAsia="仿宋"/>
          <w:color w:val="auto"/>
          <w:sz w:val="28"/>
          <w:szCs w:val="28"/>
          <w:highlight w:val="none"/>
          <w:lang w:val="en-US" w:eastAsia="zh-CN"/>
        </w:rPr>
        <w:t>谈判</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8.111万元</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最高限价：</w:t>
      </w:r>
      <w:r>
        <w:rPr>
          <w:rFonts w:hint="eastAsia" w:ascii="仿宋" w:hAnsi="仿宋" w:eastAsia="仿宋"/>
          <w:color w:val="auto"/>
          <w:sz w:val="28"/>
          <w:szCs w:val="28"/>
          <w:highlight w:val="none"/>
          <w:lang w:val="en-US" w:eastAsia="zh-CN"/>
        </w:rPr>
        <w:t>8.111万元</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采购需求：</w:t>
      </w:r>
      <w:r>
        <w:rPr>
          <w:rFonts w:hint="eastAsia" w:ascii="仿宋" w:hAnsi="仿宋" w:eastAsia="仿宋"/>
          <w:color w:val="auto"/>
          <w:sz w:val="28"/>
          <w:szCs w:val="28"/>
          <w:highlight w:val="none"/>
          <w:lang w:val="en-US" w:eastAsia="zh-CN"/>
        </w:rPr>
        <w:t>桐城师范高等专科学校2024-2025年度水暖维修耗材采购，</w:t>
      </w:r>
      <w:r>
        <w:rPr>
          <w:rFonts w:hint="eastAsia" w:ascii="仿宋" w:hAnsi="仿宋" w:eastAsia="仿宋"/>
          <w:color w:val="auto"/>
          <w:sz w:val="28"/>
          <w:szCs w:val="28"/>
          <w:highlight w:val="none"/>
        </w:rPr>
        <w:t>详见</w:t>
      </w:r>
      <w:r>
        <w:rPr>
          <w:rFonts w:hint="eastAsia" w:ascii="仿宋" w:hAnsi="仿宋" w:eastAsia="仿宋"/>
          <w:color w:val="auto"/>
          <w:sz w:val="28"/>
          <w:szCs w:val="28"/>
          <w:highlight w:val="none"/>
          <w:lang w:val="en-US" w:eastAsia="zh-CN"/>
        </w:rPr>
        <w:t>采购需求。</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合同履行期限：</w:t>
      </w:r>
      <w:r>
        <w:rPr>
          <w:rFonts w:hint="eastAsia" w:ascii="仿宋" w:hAnsi="仿宋" w:eastAsia="仿宋"/>
          <w:color w:val="auto"/>
          <w:sz w:val="28"/>
          <w:szCs w:val="28"/>
          <w:highlight w:val="none"/>
          <w:lang w:val="en-US" w:eastAsia="zh-CN"/>
        </w:rPr>
        <w:t>1年（成交</w:t>
      </w:r>
      <w:r>
        <w:rPr>
          <w:rFonts w:hint="eastAsia" w:ascii="仿宋" w:hAnsi="仿宋" w:eastAsia="仿宋"/>
          <w:color w:val="auto"/>
          <w:sz w:val="28"/>
          <w:szCs w:val="28"/>
          <w:highlight w:val="none"/>
        </w:rPr>
        <w:t>供货商在接到学校送货通知后，48小时内响应学校供货需求。如遇到抢修等特殊情况，必须及时送货</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提供的维修材料必须质保6个月，在质保期内损坏的，</w:t>
      </w:r>
      <w:r>
        <w:rPr>
          <w:rFonts w:hint="eastAsia" w:ascii="仿宋" w:hAnsi="仿宋" w:eastAsia="仿宋"/>
          <w:color w:val="auto"/>
          <w:sz w:val="28"/>
          <w:szCs w:val="28"/>
          <w:highlight w:val="none"/>
          <w:lang w:val="en-US" w:eastAsia="zh-CN"/>
        </w:rPr>
        <w:t>成交</w:t>
      </w:r>
      <w:r>
        <w:rPr>
          <w:rFonts w:hint="eastAsia" w:ascii="仿宋" w:hAnsi="仿宋" w:eastAsia="仿宋"/>
          <w:color w:val="auto"/>
          <w:sz w:val="28"/>
          <w:szCs w:val="28"/>
          <w:highlight w:val="none"/>
        </w:rPr>
        <w:t>供货商必须无偿更换</w:t>
      </w:r>
      <w:r>
        <w:rPr>
          <w:rFonts w:hint="eastAsia" w:ascii="仿宋" w:hAnsi="仿宋" w:eastAsia="仿宋"/>
          <w:color w:val="auto"/>
          <w:sz w:val="28"/>
          <w:szCs w:val="28"/>
          <w:highlight w:val="none"/>
          <w:lang w:val="en-US" w:eastAsia="zh-CN"/>
        </w:rPr>
        <w:t xml:space="preserve">。 </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本项目不接受</w:t>
      </w:r>
      <w:r>
        <w:rPr>
          <w:rFonts w:hint="eastAsia" w:ascii="仿宋" w:hAnsi="仿宋" w:eastAsia="仿宋"/>
          <w:color w:val="auto"/>
          <w:sz w:val="28"/>
          <w:szCs w:val="28"/>
          <w:highlight w:val="none"/>
          <w:lang w:val="en-US" w:eastAsia="zh-CN"/>
        </w:rPr>
        <w:t>（或接受）</w:t>
      </w:r>
      <w:r>
        <w:rPr>
          <w:rFonts w:hint="eastAsia" w:ascii="仿宋" w:hAnsi="仿宋" w:eastAsia="仿宋"/>
          <w:color w:val="auto"/>
          <w:sz w:val="28"/>
          <w:szCs w:val="28"/>
          <w:highlight w:val="none"/>
        </w:rPr>
        <w:t>联合体。</w:t>
      </w:r>
    </w:p>
    <w:p>
      <w:pPr>
        <w:rPr>
          <w:rFonts w:ascii="黑体" w:hAnsi="黑体" w:eastAsia="黑体" w:cs="宋体"/>
          <w:bCs/>
          <w:color w:val="auto"/>
          <w:sz w:val="28"/>
          <w:szCs w:val="28"/>
          <w:highlight w:val="none"/>
        </w:rPr>
      </w:pPr>
      <w:bookmarkStart w:id="11" w:name="_Toc28359090"/>
      <w:bookmarkStart w:id="12" w:name="_Toc28359013"/>
      <w:bookmarkStart w:id="13" w:name="_Toc35393799"/>
      <w:bookmarkStart w:id="14" w:name="_Toc35393630"/>
      <w:r>
        <w:rPr>
          <w:rFonts w:hint="eastAsia" w:ascii="黑体" w:hAnsi="黑体" w:eastAsia="黑体" w:cs="宋体"/>
          <w:bCs/>
          <w:color w:val="auto"/>
          <w:sz w:val="28"/>
          <w:szCs w:val="28"/>
          <w:highlight w:val="none"/>
        </w:rPr>
        <w:t>二、申请人的资格要求：</w:t>
      </w:r>
      <w:bookmarkEnd w:id="11"/>
      <w:bookmarkEnd w:id="12"/>
      <w:bookmarkEnd w:id="13"/>
      <w:bookmarkEnd w:id="14"/>
    </w:p>
    <w:p>
      <w:pPr>
        <w:ind w:firstLine="565" w:firstLineChars="202"/>
        <w:rPr>
          <w:rFonts w:ascii="仿宋" w:hAnsi="仿宋" w:eastAsia="仿宋"/>
          <w:color w:val="auto"/>
          <w:sz w:val="28"/>
          <w:szCs w:val="28"/>
          <w:highlight w:val="none"/>
        </w:rPr>
      </w:pPr>
      <w:bookmarkStart w:id="15" w:name="_Toc28359091"/>
      <w:bookmarkStart w:id="16" w:name="_Toc35393800"/>
      <w:bookmarkStart w:id="17" w:name="_Toc28359014"/>
      <w:bookmarkStart w:id="18" w:name="_Toc35393631"/>
      <w:r>
        <w:rPr>
          <w:rFonts w:hint="eastAsia" w:ascii="仿宋" w:hAnsi="仿宋" w:eastAsia="仿宋"/>
          <w:color w:val="auto"/>
          <w:sz w:val="28"/>
          <w:szCs w:val="28"/>
          <w:highlight w:val="none"/>
        </w:rPr>
        <w:t>1.满足《中华人民共和国政府采购法》第二十二条规定；</w:t>
      </w:r>
    </w:p>
    <w:p>
      <w:pPr>
        <w:spacing w:line="420" w:lineRule="exact"/>
        <w:ind w:firstLine="560" w:firstLineChars="200"/>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3.本项目的特定资格要求：/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.本项目不接受联合体投标。</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三、获取采购文件</w:t>
      </w:r>
      <w:bookmarkEnd w:id="15"/>
      <w:bookmarkEnd w:id="16"/>
      <w:bookmarkEnd w:id="17"/>
      <w:bookmarkEnd w:id="18"/>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时间：202</w:t>
      </w: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年</w:t>
      </w: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月</w:t>
      </w:r>
      <w:r>
        <w:rPr>
          <w:rFonts w:hint="eastAsia" w:ascii="仿宋" w:hAnsi="仿宋" w:eastAsia="仿宋" w:cs="宋体"/>
          <w:color w:val="auto"/>
          <w:sz w:val="28"/>
          <w:szCs w:val="28"/>
          <w:highlight w:val="none"/>
          <w:lang w:val="en-US" w:eastAsia="zh-CN"/>
        </w:rPr>
        <w:t>22</w:t>
      </w:r>
      <w:r>
        <w:rPr>
          <w:rFonts w:hint="eastAsia" w:ascii="仿宋" w:hAnsi="仿宋" w:eastAsia="仿宋" w:cs="宋体"/>
          <w:color w:val="auto"/>
          <w:sz w:val="28"/>
          <w:szCs w:val="28"/>
          <w:highlight w:val="none"/>
        </w:rPr>
        <w:t>日9时00分前（北京时间）</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地点：桐城师范高等专科学校官网</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方式：供应商登录桐城师范高等专科学校官网获取采购文件及其它资料（含澄清和补充说明等）。</w:t>
      </w:r>
    </w:p>
    <w:p>
      <w:pPr>
        <w:ind w:firstLine="565" w:firstLineChars="202"/>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售价：免费。</w:t>
      </w:r>
    </w:p>
    <w:p>
      <w:pPr>
        <w:rPr>
          <w:rFonts w:ascii="黑体" w:hAnsi="黑体" w:eastAsia="黑体" w:cs="宋体"/>
          <w:bCs/>
          <w:color w:val="auto"/>
          <w:sz w:val="28"/>
          <w:szCs w:val="28"/>
          <w:highlight w:val="none"/>
        </w:rPr>
      </w:pPr>
      <w:bookmarkStart w:id="19" w:name="_Toc35393801"/>
      <w:bookmarkStart w:id="20" w:name="_Toc28359015"/>
      <w:bookmarkStart w:id="21" w:name="_Toc35393632"/>
      <w:bookmarkStart w:id="22" w:name="_Toc28359092"/>
      <w:r>
        <w:rPr>
          <w:rFonts w:hint="eastAsia" w:ascii="黑体" w:hAnsi="黑体" w:eastAsia="黑体" w:cs="宋体"/>
          <w:bCs/>
          <w:color w:val="auto"/>
          <w:sz w:val="28"/>
          <w:szCs w:val="28"/>
          <w:highlight w:val="none"/>
        </w:rPr>
        <w:t>四、响应文件提交</w:t>
      </w:r>
      <w:bookmarkEnd w:id="19"/>
      <w:bookmarkEnd w:id="20"/>
      <w:bookmarkEnd w:id="21"/>
      <w:bookmarkEnd w:id="22"/>
    </w:p>
    <w:p>
      <w:pPr>
        <w:ind w:firstLine="560" w:firstLineChars="200"/>
        <w:rPr>
          <w:rFonts w:hint="eastAsia" w:ascii="仿宋" w:hAnsi="仿宋" w:eastAsia="仿宋" w:cs="仿宋"/>
          <w:b w:val="0"/>
          <w:bCs/>
          <w:color w:val="auto"/>
          <w:sz w:val="28"/>
          <w:szCs w:val="28"/>
          <w:highlight w:val="none"/>
        </w:rPr>
      </w:pPr>
      <w:bookmarkStart w:id="23" w:name="_Toc28359093"/>
      <w:bookmarkStart w:id="24" w:name="_Toc35393633"/>
      <w:bookmarkStart w:id="25" w:name="_Toc28359016"/>
      <w:bookmarkStart w:id="26" w:name="_Toc35393802"/>
      <w:r>
        <w:rPr>
          <w:rFonts w:hint="eastAsia" w:ascii="仿宋" w:hAnsi="仿宋" w:eastAsia="仿宋" w:cs="仿宋"/>
          <w:b w:val="0"/>
          <w:bCs/>
          <w:color w:val="auto"/>
          <w:sz w:val="28"/>
          <w:szCs w:val="28"/>
          <w:highlight w:val="none"/>
        </w:rPr>
        <w:t>截止时间：202</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22</w:t>
      </w:r>
      <w:r>
        <w:rPr>
          <w:rFonts w:hint="eastAsia" w:ascii="仿宋" w:hAnsi="仿宋" w:eastAsia="仿宋" w:cs="仿宋"/>
          <w:b w:val="0"/>
          <w:bCs/>
          <w:color w:val="auto"/>
          <w:sz w:val="28"/>
          <w:szCs w:val="28"/>
          <w:highlight w:val="none"/>
        </w:rPr>
        <w:t>日9时00分</w:t>
      </w:r>
    </w:p>
    <w:p>
      <w:pPr>
        <w:ind w:firstLine="560" w:firstLineChars="200"/>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地点：桐城市玉雕文化产业园8幢108-109</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五、开启</w:t>
      </w:r>
      <w:bookmarkEnd w:id="23"/>
      <w:bookmarkEnd w:id="24"/>
      <w:bookmarkEnd w:id="25"/>
      <w:bookmarkEnd w:id="26"/>
    </w:p>
    <w:p>
      <w:pPr>
        <w:ind w:firstLine="565" w:firstLineChars="202"/>
        <w:rPr>
          <w:rFonts w:hint="eastAsia" w:ascii="仿宋" w:hAnsi="仿宋" w:eastAsia="仿宋"/>
          <w:color w:val="auto"/>
          <w:sz w:val="28"/>
          <w:szCs w:val="28"/>
          <w:highlight w:val="none"/>
          <w:lang w:val="en-US" w:eastAsia="zh-CN"/>
        </w:rPr>
      </w:pPr>
      <w:bookmarkStart w:id="27" w:name="_Toc28359017"/>
      <w:bookmarkStart w:id="28" w:name="_Toc28359094"/>
      <w:bookmarkStart w:id="29" w:name="_Toc35393634"/>
      <w:bookmarkStart w:id="30" w:name="_Toc35393803"/>
      <w:r>
        <w:rPr>
          <w:rFonts w:hint="eastAsia" w:ascii="仿宋" w:hAnsi="仿宋" w:eastAsia="仿宋"/>
          <w:color w:val="auto"/>
          <w:sz w:val="28"/>
          <w:szCs w:val="28"/>
          <w:highlight w:val="none"/>
          <w:lang w:val="en-US" w:eastAsia="zh-CN"/>
        </w:rPr>
        <w:t>时间：2024年4月22日9时00分</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地点：桐城市玉雕文化产业园8幢108-109</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六、公告期限</w:t>
      </w:r>
      <w:bookmarkEnd w:id="27"/>
      <w:bookmarkEnd w:id="28"/>
      <w:bookmarkEnd w:id="29"/>
      <w:bookmarkEnd w:id="30"/>
    </w:p>
    <w:p>
      <w:pPr>
        <w:ind w:firstLine="565" w:firstLineChars="202"/>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个工作日。</w:t>
      </w:r>
    </w:p>
    <w:p>
      <w:pPr>
        <w:numPr>
          <w:ilvl w:val="0"/>
          <w:numId w:val="5"/>
        </w:numPr>
        <w:rPr>
          <w:rFonts w:hint="eastAsia" w:ascii="黑体" w:hAnsi="黑体" w:eastAsia="黑体" w:cs="宋体"/>
          <w:bCs/>
          <w:color w:val="auto"/>
          <w:sz w:val="28"/>
          <w:szCs w:val="28"/>
          <w:highlight w:val="none"/>
        </w:rPr>
      </w:pPr>
      <w:bookmarkStart w:id="31" w:name="_Toc35393635"/>
      <w:bookmarkStart w:id="32" w:name="_Toc35393804"/>
      <w:r>
        <w:rPr>
          <w:rFonts w:hint="eastAsia" w:ascii="黑体" w:hAnsi="黑体" w:eastAsia="黑体" w:cs="宋体"/>
          <w:bCs/>
          <w:color w:val="auto"/>
          <w:sz w:val="28"/>
          <w:szCs w:val="28"/>
          <w:highlight w:val="none"/>
        </w:rPr>
        <w:t>其他补充事宜</w:t>
      </w:r>
      <w:bookmarkEnd w:id="31"/>
      <w:bookmarkEnd w:id="32"/>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1、响应文件要求：投标时需将“响应文件”分正、副本一起装袋密封，并在密封袋上加盖公章。响应文件未按要求装订密封，现场报名时招标代理将拒绝接收。</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2、中标单位应按照中标通知书要求及时与采购人签订合同并完成备案，否则将记入不良行为记录，并予以披露。</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八、凡对本次采购提出询问，请按以下方式联系。</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1.采购人信息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名称：桐城师范高等专科学校</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地址：安徽省桐城市经开区学苑路199号</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联系人：高老师         联系方式：0556-6181669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2.采购代理机构信息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名称：四川柯锐工程项目管理有限公司</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地址：桐城市玉雕文化产业园8幢108-109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联系人：程工          联系方式：0556-6029989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br w:type="page"/>
      </w:r>
    </w:p>
    <w:p>
      <w:pPr>
        <w:pStyle w:val="3"/>
        <w:spacing w:before="62" w:beforeLines="20" w:after="62" w:afterLines="20" w:line="480" w:lineRule="exact"/>
        <w:ind w:firstLine="0" w:firstLineChars="0"/>
        <w:jc w:val="center"/>
        <w:rPr>
          <w:rFonts w:ascii="Arial" w:hAnsi="Arial"/>
          <w:color w:val="auto"/>
          <w:kern w:val="2"/>
          <w:sz w:val="32"/>
          <w:szCs w:val="32"/>
          <w:highlight w:val="none"/>
        </w:rPr>
      </w:pPr>
      <w:bookmarkStart w:id="33" w:name="_Toc26069"/>
      <w:bookmarkStart w:id="34" w:name="_Toc11266"/>
      <w:bookmarkStart w:id="35" w:name="_Toc54941329"/>
      <w:r>
        <w:rPr>
          <w:rFonts w:hint="eastAsia" w:ascii="Arial" w:hAnsi="Arial"/>
          <w:color w:val="auto"/>
          <w:kern w:val="2"/>
          <w:sz w:val="32"/>
          <w:szCs w:val="32"/>
          <w:highlight w:val="none"/>
        </w:rPr>
        <w:t>第二章</w:t>
      </w:r>
      <w:r>
        <w:rPr>
          <w:rFonts w:ascii="Arial" w:hAnsi="Arial"/>
          <w:color w:val="auto"/>
          <w:kern w:val="2"/>
          <w:sz w:val="32"/>
          <w:szCs w:val="32"/>
          <w:highlight w:val="none"/>
        </w:rPr>
        <w:t xml:space="preserve">   </w:t>
      </w:r>
      <w:r>
        <w:rPr>
          <w:rFonts w:hint="eastAsia" w:ascii="Arial" w:hAnsi="Arial"/>
          <w:color w:val="auto"/>
          <w:kern w:val="2"/>
          <w:sz w:val="32"/>
          <w:szCs w:val="32"/>
          <w:highlight w:val="none"/>
          <w:lang w:val="en-US" w:eastAsia="zh-CN"/>
        </w:rPr>
        <w:t>竞争性谈判</w:t>
      </w:r>
      <w:r>
        <w:rPr>
          <w:rFonts w:hint="eastAsia" w:ascii="Arial" w:hAnsi="Arial"/>
          <w:color w:val="auto"/>
          <w:kern w:val="2"/>
          <w:sz w:val="32"/>
          <w:szCs w:val="32"/>
          <w:highlight w:val="none"/>
        </w:rPr>
        <w:t>须知</w:t>
      </w:r>
      <w:bookmarkEnd w:id="3"/>
      <w:bookmarkEnd w:id="33"/>
      <w:bookmarkEnd w:id="34"/>
      <w:bookmarkEnd w:id="35"/>
    </w:p>
    <w:p>
      <w:pPr>
        <w:pStyle w:val="4"/>
        <w:rPr>
          <w:rFonts w:hint="eastAsia" w:eastAsia="宋体" w:cs="Tahoma"/>
          <w:bCs/>
          <w:color w:val="auto"/>
          <w:kern w:val="0"/>
          <w:sz w:val="32"/>
          <w:szCs w:val="32"/>
          <w:highlight w:val="none"/>
          <w:lang w:eastAsia="zh-CN"/>
        </w:rPr>
      </w:pPr>
      <w:bookmarkStart w:id="36" w:name="_Toc439316871"/>
      <w:bookmarkStart w:id="37" w:name="_Toc54941330"/>
      <w:bookmarkStart w:id="38" w:name="_Toc17862"/>
      <w:r>
        <w:rPr>
          <w:rFonts w:hint="eastAsia" w:cs="Tahoma"/>
          <w:bCs/>
          <w:color w:val="auto"/>
          <w:kern w:val="0"/>
          <w:sz w:val="32"/>
          <w:szCs w:val="32"/>
          <w:highlight w:val="none"/>
        </w:rPr>
        <w:t>第一节</w:t>
      </w:r>
      <w:r>
        <w:rPr>
          <w:rFonts w:cs="Tahoma"/>
          <w:bCs/>
          <w:color w:val="auto"/>
          <w:kern w:val="0"/>
          <w:sz w:val="32"/>
          <w:szCs w:val="32"/>
          <w:highlight w:val="none"/>
        </w:rPr>
        <w:t xml:space="preserve"> </w:t>
      </w:r>
      <w:bookmarkEnd w:id="36"/>
      <w:bookmarkEnd w:id="37"/>
      <w:bookmarkEnd w:id="38"/>
      <w:r>
        <w:rPr>
          <w:rFonts w:hint="eastAsia" w:cs="Tahoma"/>
          <w:bCs/>
          <w:color w:val="auto"/>
          <w:kern w:val="0"/>
          <w:sz w:val="32"/>
          <w:szCs w:val="32"/>
          <w:highlight w:val="none"/>
          <w:lang w:eastAsia="zh-CN"/>
        </w:rPr>
        <w:t>谈判须知前附表</w:t>
      </w:r>
    </w:p>
    <w:tbl>
      <w:tblPr>
        <w:tblStyle w:val="62"/>
        <w:tblW w:w="10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109"/>
        <w:gridCol w:w="7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序号</w:t>
            </w:r>
          </w:p>
        </w:tc>
        <w:tc>
          <w:tcPr>
            <w:tcW w:w="21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内容</w:t>
            </w:r>
          </w:p>
        </w:tc>
        <w:tc>
          <w:tcPr>
            <w:tcW w:w="7207" w:type="dxa"/>
            <w:tcBorders>
              <w:top w:val="single" w:color="auto" w:sz="4" w:space="0"/>
              <w:left w:val="single" w:color="auto" w:sz="4" w:space="0"/>
              <w:bottom w:val="single" w:color="auto" w:sz="4" w:space="0"/>
            </w:tcBorders>
            <w:vAlign w:val="center"/>
          </w:tcPr>
          <w:p>
            <w:pPr>
              <w:pageBreakBefore w:val="0"/>
              <w:tabs>
                <w:tab w:val="left" w:pos="1180"/>
              </w:tabs>
              <w:kinsoku/>
              <w:overflowPunct/>
              <w:topLinePunct w:val="0"/>
              <w:bidi w:val="0"/>
              <w:snapToGrid w:val="0"/>
              <w:spacing w:line="440" w:lineRule="exact"/>
              <w:jc w:val="center"/>
              <w:rPr>
                <w:rFonts w:ascii="宋体"/>
                <w:b/>
                <w:bCs/>
                <w:color w:val="auto"/>
                <w:sz w:val="24"/>
                <w:szCs w:val="24"/>
                <w:highlight w:val="none"/>
              </w:rPr>
            </w:pPr>
            <w:r>
              <w:rPr>
                <w:rFonts w:hint="eastAsia" w:ascii="宋体" w:hAnsi="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采购人</w:t>
            </w:r>
          </w:p>
        </w:tc>
        <w:tc>
          <w:tcPr>
            <w:tcW w:w="7207" w:type="dxa"/>
            <w:tcBorders>
              <w:top w:val="single" w:color="auto" w:sz="4" w:space="0"/>
              <w:left w:val="single" w:color="auto" w:sz="4" w:space="0"/>
              <w:bottom w:val="single" w:color="auto" w:sz="4" w:space="0"/>
            </w:tcBorders>
            <w:vAlign w:val="center"/>
          </w:tcPr>
          <w:p>
            <w:pPr>
              <w:pageBreakBefore w:val="0"/>
              <w:widowControl/>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桐城师范高等专科学校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w:t>
            </w:r>
            <w:r>
              <w:rPr>
                <w:rFonts w:hint="eastAsia" w:ascii="宋体" w:hAnsi="宋体" w:eastAsia="宋体"/>
                <w:strike w:val="0"/>
                <w:dstrike w:val="0"/>
                <w:color w:val="auto"/>
                <w:sz w:val="21"/>
                <w:szCs w:val="21"/>
                <w:highlight w:val="none"/>
                <w:lang w:val="en-US" w:eastAsia="zh-CN"/>
              </w:rPr>
              <w:t>代理</w:t>
            </w:r>
            <w:r>
              <w:rPr>
                <w:rFonts w:hint="eastAsia" w:ascii="宋体" w:hAnsi="宋体" w:eastAsia="宋体"/>
                <w:strike w:val="0"/>
                <w:dstrike w:val="0"/>
                <w:color w:val="auto"/>
                <w:sz w:val="21"/>
                <w:szCs w:val="21"/>
                <w:highlight w:val="none"/>
              </w:rPr>
              <w:t>机构</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eastAsia="宋体" w:cs="宋体"/>
                <w:color w:val="auto"/>
                <w:kern w:val="0"/>
                <w:szCs w:val="21"/>
                <w:highlight w:val="none"/>
                <w:lang w:val="en-US" w:eastAsia="zh-CN"/>
              </w:rPr>
            </w:pPr>
            <w:r>
              <w:rPr>
                <w:rFonts w:hint="default" w:ascii="宋体" w:eastAsia="宋体" w:cs="宋体"/>
                <w:color w:val="auto"/>
                <w:kern w:val="0"/>
                <w:szCs w:val="21"/>
                <w:highlight w:val="none"/>
                <w:lang w:val="en-US" w:eastAsia="zh-CN"/>
              </w:rPr>
              <w:t>四川柯锐工程项目管理有限公司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eastAsia="宋体"/>
                <w:b/>
                <w:bCs/>
                <w:strike w:val="0"/>
                <w:dstrike w:val="0"/>
                <w:color w:val="auto"/>
                <w:sz w:val="21"/>
                <w:szCs w:val="21"/>
                <w:highlight w:val="none"/>
                <w:lang w:val="en-US" w:eastAsia="zh-CN"/>
              </w:rPr>
              <w:t>3</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申请人（供应商）</w:t>
            </w:r>
            <w:r>
              <w:rPr>
                <w:rFonts w:hint="eastAsia" w:ascii="宋体" w:hAnsi="宋体" w:eastAsia="宋体"/>
                <w:strike w:val="0"/>
                <w:dstrike w:val="0"/>
                <w:color w:val="auto"/>
                <w:sz w:val="21"/>
                <w:szCs w:val="21"/>
                <w:highlight w:val="none"/>
              </w:rPr>
              <w:t>资格要求</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bCs w:val="0"/>
                <w:color w:val="auto"/>
                <w:sz w:val="21"/>
                <w:szCs w:val="21"/>
                <w:highlight w:val="none"/>
                <w:lang w:val="en-US" w:eastAsia="zh-CN"/>
              </w:rPr>
            </w:pPr>
            <w:r>
              <w:rPr>
                <w:rFonts w:hint="eastAsia"/>
                <w:color w:val="auto"/>
                <w:sz w:val="21"/>
                <w:szCs w:val="21"/>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4</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是否专门面向中小企业采购</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color w:val="auto"/>
                <w:highlight w:val="none"/>
              </w:rPr>
            </w:pPr>
            <w:r>
              <w:rPr>
                <w:rFonts w:hint="eastAsia" w:ascii="宋体" w:hAnsi="Wingdings"/>
                <w:kern w:val="0"/>
                <w:szCs w:val="20"/>
              </w:rPr>
              <w:sym w:font="Wingdings" w:char="00A8"/>
            </w:r>
            <w:r>
              <w:rPr>
                <w:rFonts w:hint="eastAsia" w:ascii="宋体" w:hAnsi="宋体" w:cs="宋体"/>
                <w:kern w:val="0"/>
              </w:rPr>
              <w:t>是</w:t>
            </w:r>
            <w:r>
              <w:rPr>
                <w:rFonts w:ascii="宋体" w:hAnsi="宋体" w:cs="宋体"/>
                <w:kern w:val="0"/>
              </w:rPr>
              <w:t xml:space="preserve">  </w:t>
            </w:r>
            <w:r>
              <w:rPr>
                <w:rFonts w:hint="eastAsia" w:ascii="宋体" w:hAnsi="Wingdings"/>
                <w:kern w:val="0"/>
                <w:szCs w:val="20"/>
              </w:rPr>
              <w:sym w:font="Wingdings" w:char="00FE"/>
            </w:r>
            <w:r>
              <w:rPr>
                <w:rFonts w:ascii="宋体" w:hAnsi="宋体" w:cs="宋体"/>
                <w:kern w:val="0"/>
              </w:rPr>
              <w:t xml:space="preserve"> </w:t>
            </w: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5</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包别划分</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6</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eastAsia="zh-CN"/>
              </w:rPr>
              <w:t>谈判</w:t>
            </w:r>
            <w:r>
              <w:rPr>
                <w:rFonts w:hint="eastAsia" w:ascii="宋体" w:hAnsi="宋体" w:eastAsia="宋体"/>
                <w:strike w:val="0"/>
                <w:dstrike w:val="0"/>
                <w:color w:val="auto"/>
                <w:sz w:val="21"/>
                <w:szCs w:val="21"/>
                <w:highlight w:val="none"/>
              </w:rPr>
              <w:t>有效期</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ind w:left="-2" w:leftChars="-1" w:firstLine="2"/>
              <w:rPr>
                <w:rFonts w:ascii="宋体"/>
                <w:color w:val="auto"/>
                <w:szCs w:val="21"/>
                <w:highlight w:val="none"/>
              </w:rPr>
            </w:pPr>
            <w:r>
              <w:rPr>
                <w:rFonts w:hint="eastAsia" w:ascii="宋体" w:hAnsi="宋体"/>
                <w:color w:val="auto"/>
                <w:szCs w:val="21"/>
                <w:highlight w:val="none"/>
                <w:u w:val="single"/>
              </w:rPr>
              <w:t>9</w:t>
            </w:r>
            <w:r>
              <w:rPr>
                <w:rFonts w:ascii="宋体" w:hAnsi="宋体"/>
                <w:color w:val="auto"/>
                <w:szCs w:val="21"/>
                <w:highlight w:val="none"/>
                <w:u w:val="single"/>
              </w:rPr>
              <w:t>0日历天</w:t>
            </w:r>
            <w:r>
              <w:rPr>
                <w:rFonts w:hint="eastAsia" w:ascii="宋体" w:hAnsi="宋体"/>
                <w:color w:val="auto"/>
                <w:szCs w:val="21"/>
                <w:highlight w:val="none"/>
                <w:u w:val="singl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7</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时间和地点</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ascii="宋体" w:hAnsi="宋体"/>
                <w:color w:val="auto"/>
                <w:szCs w:val="21"/>
                <w:highlight w:val="none"/>
              </w:rPr>
            </w:pPr>
            <w:r>
              <w:rPr>
                <w:rFonts w:hint="eastAsia" w:ascii="宋体"/>
                <w:b/>
                <w:bCs/>
                <w:color w:val="auto"/>
                <w:szCs w:val="21"/>
                <w:highlight w:val="none"/>
                <w:lang w:val="en-US" w:eastAsia="zh-CN"/>
              </w:rPr>
              <w:t>详见竞争性谈判公告（同响应文件提交截止时间）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8</w:t>
            </w:r>
          </w:p>
        </w:tc>
        <w:tc>
          <w:tcPr>
            <w:tcW w:w="21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rPr>
              <w:t>评审方法</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Times New Roman"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9</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媒介发布</w:t>
            </w:r>
          </w:p>
        </w:tc>
        <w:tc>
          <w:tcPr>
            <w:tcW w:w="720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val="0"/>
              <w:autoSpaceDN w:val="0"/>
              <w:bidi w:val="0"/>
              <w:adjustRightInd w:val="0"/>
              <w:snapToGrid w:val="0"/>
              <w:spacing w:line="440" w:lineRule="exact"/>
              <w:jc w:val="left"/>
              <w:rPr>
                <w:rFonts w:hint="eastAsia"/>
                <w:color w:val="auto"/>
                <w:highlight w:val="none"/>
                <w:lang w:val="en-US" w:eastAsia="zh-CN"/>
              </w:rPr>
            </w:pPr>
            <w:r>
              <w:rPr>
                <w:rFonts w:hint="eastAsia" w:ascii="宋体" w:hAnsi="宋体" w:cs="宋体"/>
              </w:rPr>
              <w:t>本次竞争性</w:t>
            </w:r>
            <w:r>
              <w:rPr>
                <w:rFonts w:hint="eastAsia" w:ascii="宋体" w:hAnsi="宋体" w:cs="宋体"/>
                <w:lang w:val="en-US" w:eastAsia="zh-CN"/>
              </w:rPr>
              <w:t>谈判</w:t>
            </w:r>
            <w:r>
              <w:rPr>
                <w:rFonts w:hint="eastAsia" w:ascii="宋体" w:hAnsi="宋体" w:cs="宋体"/>
              </w:rPr>
              <w:t>公告在</w:t>
            </w:r>
            <w:r>
              <w:rPr>
                <w:rFonts w:hint="eastAsia" w:ascii="宋体" w:hAnsi="宋体" w:cs="宋体"/>
                <w:lang w:val="en-US" w:eastAsia="zh-CN"/>
              </w:rPr>
              <w:t>桐城师范高等专科学校官网</w:t>
            </w:r>
            <w:r>
              <w:rPr>
                <w:rFonts w:hint="eastAsia" w:ascii="宋体" w:hAnsi="宋体" w:cs="宋体"/>
              </w:rPr>
              <w:t>上发布和推送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restart"/>
            <w:tcBorders>
              <w:top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10</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保证金</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strike w:val="0"/>
                <w:dstrike w:val="0"/>
                <w:color w:val="auto"/>
                <w:szCs w:val="21"/>
                <w:highlight w:val="none"/>
              </w:rPr>
            </w:pPr>
            <w:r>
              <w:rPr>
                <w:rFonts w:hint="eastAsia" w:ascii="宋体"/>
                <w:strike w:val="0"/>
                <w:dstrike w:val="0"/>
                <w:color w:val="auto"/>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continue"/>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履约保证金</w:t>
            </w:r>
          </w:p>
        </w:tc>
        <w:tc>
          <w:tcPr>
            <w:tcW w:w="720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宋体"/>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lang w:val="en-US" w:eastAsia="zh-CN"/>
              </w:rPr>
              <w:t>成交服务费（元）</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（1）金额：成交金额的1.5%</w:t>
            </w:r>
          </w:p>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（2）缴纳单位：成交人</w:t>
            </w:r>
          </w:p>
          <w:p>
            <w:pPr>
              <w:pageBreakBefore w:val="0"/>
              <w:kinsoku/>
              <w:overflowPunct/>
              <w:topLinePunct w:val="0"/>
              <w:bidi w:val="0"/>
              <w:snapToGrid w:val="0"/>
              <w:spacing w:line="440" w:lineRule="exact"/>
              <w:rPr>
                <w:rFonts w:hint="default"/>
                <w:color w:val="auto"/>
                <w:highlight w:val="none"/>
                <w:lang w:val="en-US" w:eastAsia="zh-CN"/>
              </w:rPr>
            </w:pPr>
            <w:r>
              <w:rPr>
                <w:rFonts w:hint="eastAsia" w:ascii="宋体" w:hAnsi="宋体" w:cs="宋体"/>
                <w:color w:val="auto"/>
                <w:highlight w:val="none"/>
                <w:lang w:val="en-US" w:eastAsia="zh-CN"/>
              </w:rPr>
              <w:t>（3）成交</w:t>
            </w:r>
            <w:r>
              <w:rPr>
                <w:rFonts w:hint="eastAsia" w:ascii="宋体" w:hAnsi="宋体" w:cs="宋体"/>
                <w:color w:val="auto"/>
                <w:highlight w:val="none"/>
              </w:rPr>
              <w:t>人应在收到缴费通知后三日内按</w:t>
            </w:r>
            <w:r>
              <w:rPr>
                <w:rFonts w:hint="eastAsia" w:ascii="宋体" w:hAnsi="宋体" w:cs="宋体"/>
                <w:color w:val="auto"/>
                <w:highlight w:val="none"/>
                <w:lang w:val="en-US" w:eastAsia="zh-CN"/>
              </w:rPr>
              <w:t>谈判</w:t>
            </w:r>
            <w:r>
              <w:rPr>
                <w:rFonts w:hint="eastAsia" w:ascii="宋体" w:hAnsi="宋体" w:cs="宋体"/>
                <w:color w:val="auto"/>
                <w:highlight w:val="none"/>
              </w:rPr>
              <w:t>文件要求缴纳服务费。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说明</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本</w:t>
            </w:r>
            <w:r>
              <w:rPr>
                <w:rFonts w:hint="eastAsia" w:ascii="宋体" w:hAnsi="宋体" w:cs="宋体"/>
                <w:color w:val="auto"/>
                <w:highlight w:val="none"/>
                <w:lang w:val="en-US" w:eastAsia="zh-CN"/>
              </w:rPr>
              <w:t>竞争性</w:t>
            </w:r>
            <w:r>
              <w:rPr>
                <w:rFonts w:hint="eastAsia" w:ascii="宋体" w:hAnsi="宋体" w:cs="宋体"/>
                <w:color w:val="auto"/>
                <w:highlight w:val="none"/>
                <w:lang w:eastAsia="zh-CN"/>
              </w:rPr>
              <w:t>谈判</w:t>
            </w:r>
            <w:r>
              <w:rPr>
                <w:rFonts w:hint="eastAsia" w:ascii="宋体" w:hAnsi="宋体" w:cs="宋体"/>
                <w:color w:val="auto"/>
                <w:highlight w:val="none"/>
              </w:rPr>
              <w:t>文件的解释权归采购单位。</w:t>
            </w:r>
          </w:p>
          <w:p>
            <w:pPr>
              <w:pageBreakBefore w:val="0"/>
              <w:kinsoku/>
              <w:overflowPunct/>
              <w:topLinePunct w:val="0"/>
              <w:bidi w:val="0"/>
              <w:snapToGrid w:val="0"/>
              <w:spacing w:line="440" w:lineRule="exact"/>
              <w:rPr>
                <w:rFonts w:ascii="宋体"/>
                <w:color w:val="auto"/>
                <w:szCs w:val="21"/>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本项目若涉及到专业分包工程，如</w:t>
            </w:r>
            <w:r>
              <w:rPr>
                <w:rFonts w:hint="eastAsia" w:ascii="宋体" w:hAnsi="宋体" w:cs="宋体"/>
                <w:color w:val="auto"/>
                <w:highlight w:val="none"/>
                <w:lang w:val="en-US" w:eastAsia="zh-CN"/>
              </w:rPr>
              <w:t>成交</w:t>
            </w:r>
            <w:r>
              <w:rPr>
                <w:rFonts w:hint="eastAsia" w:ascii="宋体" w:hAnsi="宋体" w:cs="宋体"/>
                <w:color w:val="auto"/>
                <w:highlight w:val="none"/>
              </w:rPr>
              <w:t>人没有相应资质，则必须委托有资质的单位实施。该专业分包单位的选定须事先征得采购人同意。</w:t>
            </w:r>
          </w:p>
        </w:tc>
      </w:tr>
    </w:tbl>
    <w:p>
      <w:pPr>
        <w:rPr>
          <w:rFonts w:ascii="宋体" w:hAnsi="宋体"/>
          <w:color w:val="auto"/>
          <w:kern w:val="0"/>
          <w:highlight w:val="none"/>
          <w:lang w:val="zh-CN"/>
        </w:rPr>
      </w:pPr>
      <w:bookmarkStart w:id="39" w:name="_Toc439316872"/>
      <w:r>
        <w:rPr>
          <w:color w:val="auto"/>
          <w:kern w:val="0"/>
          <w:highlight w:val="none"/>
          <w:lang w:val="zh-CN"/>
        </w:rPr>
        <w:br w:type="page"/>
      </w:r>
    </w:p>
    <w:p>
      <w:pPr>
        <w:pStyle w:val="4"/>
        <w:rPr>
          <w:rFonts w:cs="Tahoma"/>
          <w:bCs/>
          <w:color w:val="auto"/>
          <w:kern w:val="0"/>
          <w:sz w:val="32"/>
          <w:szCs w:val="32"/>
          <w:highlight w:val="none"/>
          <w:lang w:val="zh-CN"/>
        </w:rPr>
      </w:pPr>
      <w:bookmarkStart w:id="40" w:name="_Toc54941331"/>
      <w:bookmarkStart w:id="41" w:name="_Toc2521"/>
      <w:r>
        <w:rPr>
          <w:rFonts w:hint="eastAsia" w:cs="Tahoma"/>
          <w:bCs/>
          <w:color w:val="auto"/>
          <w:kern w:val="0"/>
          <w:sz w:val="32"/>
          <w:szCs w:val="32"/>
          <w:highlight w:val="none"/>
          <w:lang w:val="zh-CN"/>
        </w:rPr>
        <w:t>第二节</w:t>
      </w:r>
      <w:r>
        <w:rPr>
          <w:rFonts w:cs="Tahoma"/>
          <w:bCs/>
          <w:color w:val="auto"/>
          <w:kern w:val="0"/>
          <w:sz w:val="32"/>
          <w:szCs w:val="32"/>
          <w:highlight w:val="none"/>
          <w:lang w:val="zh-CN"/>
        </w:rPr>
        <w:t xml:space="preserve"> </w:t>
      </w:r>
      <w:r>
        <w:rPr>
          <w:rFonts w:hint="eastAsia" w:cs="Tahoma"/>
          <w:bCs/>
          <w:color w:val="auto"/>
          <w:kern w:val="0"/>
          <w:sz w:val="32"/>
          <w:szCs w:val="32"/>
          <w:highlight w:val="none"/>
          <w:lang w:val="en-US" w:eastAsia="zh-CN"/>
        </w:rPr>
        <w:t>供应商</w:t>
      </w:r>
      <w:r>
        <w:rPr>
          <w:rFonts w:hint="eastAsia" w:cs="Tahoma"/>
          <w:bCs/>
          <w:color w:val="auto"/>
          <w:kern w:val="0"/>
          <w:sz w:val="32"/>
          <w:szCs w:val="32"/>
          <w:highlight w:val="none"/>
          <w:lang w:val="zh-CN"/>
        </w:rPr>
        <w:t>须知</w:t>
      </w:r>
      <w:bookmarkEnd w:id="39"/>
      <w:bookmarkEnd w:id="40"/>
      <w:bookmarkEnd w:id="41"/>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2" w:name="_Toc439316873"/>
      <w:bookmarkStart w:id="43" w:name="_Toc7325"/>
      <w:bookmarkStart w:id="44" w:name="_Toc15055"/>
      <w:bookmarkStart w:id="45" w:name="_Toc25270"/>
      <w:bookmarkStart w:id="46" w:name="_Toc21078"/>
      <w:bookmarkStart w:id="47" w:name="_Toc10523"/>
      <w:bookmarkStart w:id="48" w:name="_Toc439316919"/>
      <w:r>
        <w:rPr>
          <w:rFonts w:hint="eastAsia" w:asciiTheme="minorEastAsia" w:hAnsiTheme="minorEastAsia" w:eastAsiaTheme="minorEastAsia" w:cstheme="minorEastAsia"/>
          <w:b/>
          <w:bCs/>
          <w:color w:val="auto"/>
          <w:sz w:val="24"/>
          <w:szCs w:val="24"/>
          <w:highlight w:val="none"/>
          <w:lang w:val="zh-CN"/>
        </w:rPr>
        <w:t>1、适用法律</w:t>
      </w:r>
      <w:bookmarkEnd w:id="42"/>
      <w:bookmarkEnd w:id="43"/>
      <w:bookmarkEnd w:id="44"/>
      <w:bookmarkEnd w:id="45"/>
      <w:bookmarkEnd w:id="46"/>
      <w:bookmarkEnd w:id="47"/>
      <w:bookmarkEnd w:id="48"/>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本项目采购人、采购代理机构、响应人、</w:t>
      </w:r>
      <w:r>
        <w:rPr>
          <w:rFonts w:hint="eastAsia" w:asciiTheme="minorEastAsia" w:hAnsiTheme="minorEastAsia" w:eastAsiaTheme="minorEastAsia" w:cstheme="minorEastAsia"/>
          <w:color w:val="auto"/>
          <w:sz w:val="24"/>
          <w:szCs w:val="24"/>
          <w:highlight w:val="none"/>
          <w:lang w:val="en-US" w:eastAsia="zh-CN"/>
        </w:rPr>
        <w:t>谈判小组</w:t>
      </w:r>
      <w:r>
        <w:rPr>
          <w:rFonts w:hint="eastAsia" w:asciiTheme="minorEastAsia" w:hAnsiTheme="minorEastAsia" w:eastAsiaTheme="minorEastAsia" w:cstheme="minorEastAsia"/>
          <w:color w:val="auto"/>
          <w:sz w:val="24"/>
          <w:szCs w:val="24"/>
          <w:highlight w:val="none"/>
          <w:lang w:val="zh-CN" w:eastAsia="zh-CN"/>
        </w:rPr>
        <w:t>的相关行为均受《中华人民共和国政府采购法》《中华人民共和国政府采购法实施条例》《政府采购非招标采购方式管</w:t>
      </w:r>
      <w:r>
        <w:rPr>
          <w:rFonts w:hint="eastAsia" w:asciiTheme="minorEastAsia" w:hAnsiTheme="minorEastAsia" w:eastAsiaTheme="minorEastAsia" w:cstheme="minorEastAsia"/>
          <w:color w:val="auto"/>
          <w:sz w:val="24"/>
          <w:szCs w:val="24"/>
          <w:highlight w:val="none"/>
        </w:rPr>
        <w:t>理办法</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zh-CN" w:eastAsia="zh-CN"/>
        </w:rPr>
        <w:t>及本项目本级和上级财政部门、政府采购监督管理部门的政府采购有关规定的约束，其权利受到上述法律法规的保护。</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9" w:name="_Toc439316874"/>
      <w:bookmarkStart w:id="50" w:name="_Toc10933"/>
      <w:bookmarkStart w:id="51" w:name="_Toc439316920"/>
      <w:bookmarkStart w:id="52" w:name="_Toc1704"/>
      <w:bookmarkStart w:id="53" w:name="_Toc8228"/>
      <w:bookmarkStart w:id="54" w:name="_Toc24643"/>
      <w:bookmarkStart w:id="55" w:name="_Toc27113"/>
      <w:r>
        <w:rPr>
          <w:rFonts w:hint="eastAsia" w:asciiTheme="minorEastAsia" w:hAnsiTheme="minorEastAsia" w:eastAsiaTheme="minorEastAsia" w:cstheme="minorEastAsia"/>
          <w:b/>
          <w:bCs/>
          <w:color w:val="auto"/>
          <w:sz w:val="24"/>
          <w:szCs w:val="24"/>
          <w:highlight w:val="none"/>
          <w:lang w:val="zh-CN"/>
        </w:rPr>
        <w:t>2、定义</w:t>
      </w:r>
      <w:bookmarkEnd w:id="49"/>
      <w:bookmarkEnd w:id="50"/>
      <w:bookmarkEnd w:id="51"/>
      <w:bookmarkEnd w:id="52"/>
      <w:bookmarkEnd w:id="53"/>
      <w:bookmarkEnd w:id="54"/>
      <w:bookmarkEnd w:id="55"/>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2.1、采购人：是指依法开展政府采购活动的国家机关、事业单位、团体组织。本项目的采购人见谈判须知前附表。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2.2、采购代理机构：是指集中采购机构或从事采购代理业务的社会中介机构。本项目的采购代理机构见谈判须知前附表。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2.3、响应人：是指向采购人提供货物、工程或者服务的法人、非法人组织或者自然人。分支机构不得参加政府采购活动，但银行、保险、石油石化、电力、电信等特殊行业除外。若银行、保险、石油化工、电力、电信等特殊行业的分公司参与谈判 ，须取得总公司的相关授权或出具总公司的有关文件、制度等能够证明总公司授权其独立开展业务的证明（响应文件中须提供），响应文件中关于法定代表人的要求事项可由分公司负责人代理。</w:t>
      </w:r>
    </w:p>
    <w:p>
      <w:pPr>
        <w:pageBreakBefore w:val="0"/>
        <w:kinsoku/>
        <w:overflowPunct/>
        <w:topLinePunct w:val="0"/>
        <w:bidi w:val="0"/>
        <w:snapToGrid w:val="0"/>
        <w:spacing w:line="560" w:lineRule="exact"/>
        <w:ind w:firstLine="480" w:firstLineChars="200"/>
        <w:textAlignment w:val="auto"/>
        <w:rPr>
          <w:rFonts w:hint="default"/>
          <w:color w:val="auto"/>
          <w:highlight w:val="none"/>
          <w:lang w:val="en-US"/>
        </w:rPr>
      </w:pPr>
      <w:r>
        <w:rPr>
          <w:rFonts w:hint="eastAsia" w:asciiTheme="minorEastAsia" w:hAnsiTheme="minorEastAsia" w:eastAsiaTheme="minorEastAsia" w:cstheme="minorEastAsia"/>
          <w:color w:val="auto"/>
          <w:sz w:val="24"/>
          <w:szCs w:val="24"/>
          <w:highlight w:val="none"/>
          <w:lang w:val="en-US" w:eastAsia="zh-CN"/>
        </w:rPr>
        <w:t>2.4、政府采购监督管理部门：各级人民政府指定的有关部门依法履行与政府采购活动有关的监督管理职责。本项目的政府采购监督管理部门见谈判须知前附表。</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eastAsia="zh-CN"/>
        </w:rPr>
        <w:t>响应人</w:t>
      </w:r>
      <w:r>
        <w:rPr>
          <w:rFonts w:hint="eastAsia" w:asciiTheme="minorEastAsia" w:hAnsiTheme="minorEastAsia" w:eastAsiaTheme="minorEastAsia" w:cstheme="minorEastAsia"/>
          <w:b/>
          <w:color w:val="auto"/>
          <w:sz w:val="24"/>
          <w:szCs w:val="24"/>
          <w:highlight w:val="none"/>
        </w:rPr>
        <w:t>资格要求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3.1、参与本项目的</w:t>
      </w:r>
      <w:r>
        <w:rPr>
          <w:rFonts w:hint="eastAsia" w:asciiTheme="minorEastAsia" w:hAnsiTheme="minorEastAsia" w:eastAsiaTheme="minorEastAsia" w:cstheme="minorEastAsia"/>
          <w:color w:val="auto"/>
          <w:sz w:val="24"/>
          <w:szCs w:val="24"/>
          <w:highlight w:val="none"/>
          <w:lang w:val="en-US" w:eastAsia="zh-CN"/>
        </w:rPr>
        <w:t>响应人或服务</w:t>
      </w:r>
      <w:r>
        <w:rPr>
          <w:rFonts w:hint="eastAsia" w:asciiTheme="minorEastAsia" w:hAnsiTheme="minorEastAsia" w:eastAsiaTheme="minorEastAsia" w:cstheme="minorEastAsia"/>
          <w:color w:val="auto"/>
          <w:sz w:val="24"/>
          <w:szCs w:val="24"/>
          <w:highlight w:val="none"/>
        </w:rPr>
        <w:t>必须满足的要求：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3.1.1 在中华人民共和国境内注册，能够独立承担民事责任，有生产或供应能力的本国供应商。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3.1.2 具备《中华人民共和国政府采购法》第二十二条关于供应商条件的规定，遵守本项目采购人本级和上级财政部门政府采购的有关规定。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3.1.3 以谈判公告中约定的方式获得了本项目的谈判文件。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3.1.4 若谈判须知前附表中写明专门面向中小企业采购的，如响应人提供的服务非中小企业承接的，其</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 若竞争性谈判公告中接受联合体谈判 ，对联合体规定如下：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3.2.1 两个以上供应商可以组成一个</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联合体，以一个响应人的身份谈判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3.2.2 联合体各方均应符合《中华人民共和国政府采购法》第二十二条规定的条件。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3.2.3 采购人根据采购项目对响应人的特殊要求，联合体中至少应当有一方符合相关规定。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3.2.4 联合体各方应签订联合协议，明确约定联合体各方承担的工作和相应的责任，并将联合协议作为响应文件的一部分提交。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3.2.5 大中型企业、其他自然人、法人或者非法人组织与小型、微型企业组成联合体共同参加谈判 ，联合协议中应写明小型、微型企业的协议合同金额占到联合协议</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总金额的比例。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3.2.6 联合体中有同类资质的供应商按照联合体分工承担相同工作的，应当按照资质等级较低的供应商确定资质等级。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3.2.7 以联合体形式参加政府采购活动的，联合体各方不得再单独参加或者与其他供应商另外组成联合体参加本项目谈判 ，否则相关</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3.2.8 对联合体谈判的其他资格要求见响应人资格。</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dstrike w:val="0"/>
          <w:color w:val="auto"/>
          <w:sz w:val="24"/>
          <w:szCs w:val="24"/>
          <w:highlight w:val="none"/>
          <w:lang w:val="en-US" w:eastAsia="zh-CN"/>
        </w:rPr>
      </w:pPr>
      <w:r>
        <w:rPr>
          <w:rFonts w:hint="eastAsia" w:asciiTheme="minorEastAsia" w:hAnsiTheme="minorEastAsia" w:eastAsiaTheme="minorEastAsia" w:cstheme="minorEastAsia"/>
          <w:strike w:val="0"/>
          <w:dstrike w:val="0"/>
          <w:color w:val="auto"/>
          <w:sz w:val="24"/>
          <w:szCs w:val="24"/>
          <w:highlight w:val="none"/>
          <w:lang w:val="en-US" w:eastAsia="zh-CN"/>
        </w:rPr>
        <w:t xml:space="preserve">3.3 单位负责人为同一人或者存在直接控股、管理关系的不同供应商，不得参加同一合同项下的政府采购活动。否则其响应文件将被认定为响应无效。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color w:val="auto"/>
          <w:sz w:val="24"/>
          <w:szCs w:val="24"/>
          <w:highlight w:val="none"/>
        </w:rPr>
      </w:pPr>
      <w:r>
        <w:rPr>
          <w:rFonts w:hint="eastAsia" w:asciiTheme="minorEastAsia" w:hAnsiTheme="minorEastAsia" w:eastAsiaTheme="minorEastAsia" w:cstheme="minorEastAsia"/>
          <w:strike w:val="0"/>
          <w:dstrike w:val="0"/>
          <w:color w:val="auto"/>
          <w:sz w:val="24"/>
          <w:szCs w:val="24"/>
          <w:highlight w:val="none"/>
          <w:lang w:val="en-US" w:eastAsia="zh-CN"/>
        </w:rPr>
        <w:t>3.4 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strike w:val="0"/>
          <w:color w:val="auto"/>
          <w:sz w:val="24"/>
          <w:szCs w:val="24"/>
          <w:highlight w:val="none"/>
          <w:lang w:val="en-US" w:eastAsia="zh-CN"/>
        </w:rPr>
        <w:t xml:space="preserve">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、供应商必须确保自己信息真实、准确，否则，供应商因此蒙受损失，采购单位概不负责。</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4、</w:t>
      </w:r>
      <w:r>
        <w:rPr>
          <w:rFonts w:hint="eastAsia" w:asciiTheme="minorEastAsia" w:hAnsiTheme="minorEastAsia" w:eastAsiaTheme="minorEastAsia" w:cstheme="minorEastAsia"/>
          <w:b/>
          <w:bCs/>
          <w:color w:val="auto"/>
          <w:sz w:val="24"/>
          <w:szCs w:val="24"/>
          <w:highlight w:val="none"/>
          <w:lang w:eastAsia="zh-CN"/>
        </w:rPr>
        <w:t>现场考察</w:t>
      </w:r>
      <w:r>
        <w:rPr>
          <w:rFonts w:hint="eastAsia" w:asciiTheme="minorEastAsia" w:hAnsiTheme="minorEastAsia" w:eastAsiaTheme="minorEastAsia" w:cstheme="minorEastAsia"/>
          <w:b/>
          <w:bCs/>
          <w:color w:val="auto"/>
          <w:sz w:val="24"/>
          <w:szCs w:val="24"/>
          <w:highlight w:val="none"/>
        </w:rPr>
        <w:t>：</w:t>
      </w:r>
      <w:bookmarkStart w:id="56" w:name="_Toc439316921"/>
      <w:bookmarkStart w:id="57" w:name="_Toc439316875"/>
      <w:r>
        <w:rPr>
          <w:rFonts w:hint="eastAsia" w:asciiTheme="minorEastAsia" w:hAnsiTheme="minorEastAsia" w:eastAsiaTheme="minorEastAsia" w:cstheme="minorEastAsia"/>
          <w:color w:val="auto"/>
          <w:sz w:val="24"/>
          <w:szCs w:val="24"/>
          <w:highlight w:val="none"/>
        </w:rPr>
        <w:t>供应商自行现场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。供应商应认真对现场环境进行现场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，对项目环境和影响等</w:t>
      </w:r>
      <w:r>
        <w:rPr>
          <w:rFonts w:hint="eastAsia" w:asciiTheme="minorEastAsia" w:hAnsiTheme="minorEastAsia" w:eastAsiaTheme="minorEastAsia" w:cstheme="minorEastAsia"/>
          <w:color w:val="auto"/>
          <w:sz w:val="24"/>
          <w:szCs w:val="24"/>
          <w:highlight w:val="none"/>
          <w:lang w:val="en-US" w:eastAsia="zh-CN"/>
        </w:rPr>
        <w:t>因</w:t>
      </w:r>
      <w:r>
        <w:rPr>
          <w:rFonts w:hint="eastAsia" w:asciiTheme="minorEastAsia" w:hAnsiTheme="minorEastAsia" w:eastAsiaTheme="minorEastAsia" w:cstheme="minorEastAsia"/>
          <w:color w:val="auto"/>
          <w:sz w:val="24"/>
          <w:szCs w:val="24"/>
          <w:highlight w:val="none"/>
        </w:rPr>
        <w:t>素，做出理性的判断和估价。成交后签订合同时和供货安装过程中，供应商不得以不完全了解或不了解现场情况为由，提出任何形式的增加费用或索赔的要求。</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zh-CN"/>
        </w:rPr>
        <w:t>谈判费用</w:t>
      </w:r>
      <w:r>
        <w:rPr>
          <w:rFonts w:hint="eastAsia" w:asciiTheme="minorEastAsia" w:hAnsiTheme="minorEastAsia" w:eastAsiaTheme="minorEastAsia" w:cstheme="minorEastAsia"/>
          <w:color w:val="auto"/>
          <w:sz w:val="24"/>
          <w:szCs w:val="24"/>
          <w:highlight w:val="none"/>
          <w:lang w:val="zh-CN"/>
        </w:rPr>
        <w:t>：供应商必须自行承担参加谈判所有费用。</w:t>
      </w:r>
      <w:bookmarkEnd w:id="56"/>
      <w:bookmarkEnd w:id="57"/>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bCs/>
          <w:color w:val="auto"/>
          <w:sz w:val="24"/>
          <w:szCs w:val="24"/>
          <w:highlight w:val="none"/>
          <w:lang w:val="zh-CN"/>
        </w:rPr>
      </w:pPr>
      <w:bookmarkStart w:id="58" w:name="_Toc54941333"/>
      <w:r>
        <w:rPr>
          <w:rFonts w:hint="eastAsia" w:asciiTheme="minorEastAsia" w:hAnsiTheme="minorEastAsia" w:eastAsiaTheme="minorEastAsia" w:cstheme="minorEastAsia"/>
          <w:b/>
          <w:bCs/>
          <w:color w:val="auto"/>
          <w:sz w:val="24"/>
          <w:szCs w:val="24"/>
          <w:highlight w:val="none"/>
          <w:lang w:val="zh-CN"/>
        </w:rPr>
        <w:t>二、</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bookmarkEnd w:id="58"/>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rPr>
        <w:t>的构成</w:t>
      </w:r>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lang w:val="en-US" w:eastAsia="zh-CN"/>
        </w:rPr>
        <w:t>包括：</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第一章 </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公告</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第二章 </w:t>
      </w:r>
      <w:r>
        <w:rPr>
          <w:rFonts w:hint="eastAsia" w:asciiTheme="minorEastAsia" w:hAnsiTheme="minorEastAsia" w:eastAsiaTheme="minorEastAsia" w:cstheme="minorEastAsia"/>
          <w:color w:val="auto"/>
          <w:sz w:val="24"/>
          <w:szCs w:val="24"/>
          <w:highlight w:val="none"/>
          <w:lang w:val="en-US" w:eastAsia="zh-CN"/>
        </w:rPr>
        <w:t>竞争性谈判</w:t>
      </w:r>
      <w:r>
        <w:rPr>
          <w:rFonts w:hint="eastAsia" w:asciiTheme="minorEastAsia" w:hAnsiTheme="minorEastAsia" w:eastAsiaTheme="minorEastAsia" w:cstheme="minorEastAsia"/>
          <w:color w:val="auto"/>
          <w:sz w:val="24"/>
          <w:szCs w:val="24"/>
          <w:highlight w:val="none"/>
        </w:rPr>
        <w:t>须知</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第三章 </w:t>
      </w:r>
      <w:r>
        <w:rPr>
          <w:rFonts w:hint="eastAsia" w:asciiTheme="minorEastAsia" w:hAnsiTheme="minorEastAsia" w:eastAsiaTheme="minorEastAsia" w:cstheme="minorEastAsia"/>
          <w:color w:val="auto"/>
          <w:sz w:val="24"/>
          <w:szCs w:val="24"/>
          <w:highlight w:val="none"/>
          <w:lang w:val="en-US" w:eastAsia="zh-CN"/>
        </w:rPr>
        <w:t>采购需求</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第四章 </w:t>
      </w:r>
      <w:r>
        <w:rPr>
          <w:rFonts w:hint="eastAsia" w:asciiTheme="minorEastAsia" w:hAnsiTheme="minorEastAsia" w:eastAsiaTheme="minorEastAsia" w:cstheme="minorEastAsia"/>
          <w:color w:val="auto"/>
          <w:sz w:val="24"/>
          <w:szCs w:val="24"/>
          <w:highlight w:val="none"/>
          <w:lang w:eastAsia="zh-CN"/>
        </w:rPr>
        <w:t>评审</w:t>
      </w:r>
      <w:r>
        <w:rPr>
          <w:rFonts w:hint="eastAsia" w:asciiTheme="minorEastAsia" w:hAnsiTheme="minorEastAsia" w:eastAsiaTheme="minorEastAsia" w:cstheme="minorEastAsia"/>
          <w:color w:val="auto"/>
          <w:sz w:val="24"/>
          <w:szCs w:val="24"/>
          <w:highlight w:val="none"/>
        </w:rPr>
        <w:t>方法和标准</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第五章 政府采购合同</w:t>
      </w:r>
      <w:r>
        <w:rPr>
          <w:rFonts w:hint="eastAsia" w:asciiTheme="minorEastAsia" w:hAnsiTheme="minorEastAsia" w:eastAsiaTheme="minorEastAsia" w:cstheme="minorEastAsia"/>
          <w:color w:val="auto"/>
          <w:sz w:val="24"/>
          <w:szCs w:val="24"/>
          <w:highlight w:val="none"/>
          <w:lang w:val="en-US" w:eastAsia="zh-CN"/>
        </w:rPr>
        <w:t>主要条款</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第六章 </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第七章 政府采购供应商质疑函范本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.2、供应商应认真阅读和充分理解</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文件中所有的内容。如果供应商没有满足</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文件的有关要求，其风险由供应商自行承担。</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.3、供应商获取</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文件后，应仔细检查</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文件的所有内容，如有残缺、文本不清晰、表述不一致等问题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应在获得</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后及时</w:t>
      </w:r>
      <w:r>
        <w:rPr>
          <w:rFonts w:hint="eastAsia" w:asciiTheme="minorEastAsia" w:hAnsiTheme="minorEastAsia" w:eastAsiaTheme="minorEastAsia" w:cstheme="minorEastAsia"/>
          <w:color w:val="auto"/>
          <w:sz w:val="24"/>
          <w:szCs w:val="24"/>
          <w:highlight w:val="none"/>
        </w:rPr>
        <w:t>向采购单位提出，否则，由此引起的损失由供应商自己承担。供应商同时应认真审阅</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文件中所有的事项、格式、条款和规范要求等，若供应商的响应文件没有按</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文件要求提交全部资料及自己理解产生的误差，或响应文件没有对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文件做出实质性响应，其风险由供应商自行承担，并根据有关条款约定，该响应有可能被拒绝。</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竞争性</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文件的澄清与修改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采购人可主动地或在解答</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提出的问题时对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文件进行澄清与修改。采购代理机构将在</w:t>
      </w:r>
      <w:r>
        <w:rPr>
          <w:rFonts w:hint="eastAsia" w:asciiTheme="minorEastAsia" w:hAnsiTheme="minorEastAsia" w:eastAsiaTheme="minorEastAsia" w:cstheme="minorEastAsia"/>
          <w:color w:val="auto"/>
          <w:sz w:val="24"/>
          <w:szCs w:val="24"/>
          <w:highlight w:val="none"/>
          <w:lang w:val="en-US" w:eastAsia="zh-CN"/>
        </w:rPr>
        <w:t>桐城师范高等专科学校官网</w:t>
      </w:r>
      <w:r>
        <w:rPr>
          <w:rFonts w:hint="eastAsia" w:asciiTheme="minorEastAsia" w:hAnsiTheme="minorEastAsia" w:eastAsiaTheme="minorEastAsia" w:cstheme="minorEastAsia"/>
          <w:color w:val="auto"/>
          <w:sz w:val="24"/>
          <w:szCs w:val="24"/>
          <w:highlight w:val="none"/>
        </w:rPr>
        <w:t>以发布更正公告的方式澄清或修改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文件，澄清或修改的内容作为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起约束作用。</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应主动上网查询。采购代理机构不承担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未及时关注相关信息引发的相关责任。</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任何人或任何组织向</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提供的任何书面或口头资料，未经采购代理机构在网上发布或书面通知，均作无效处理，不得作为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文件的组成部分。采购代理机构对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由此而做出的推论、理解和结论概不负责。</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对于没有提出疑问又参与了本项目</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将被视为完全认同本</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文件（含澄清或修改的内容）。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b/>
          <w:color w:val="auto"/>
          <w:sz w:val="24"/>
          <w:highlight w:val="none"/>
          <w:lang w:val="en-US" w:eastAsia="zh-CN"/>
        </w:rPr>
        <w:t>8、</w:t>
      </w:r>
      <w:r>
        <w:rPr>
          <w:rFonts w:hint="eastAsia" w:asciiTheme="minorEastAsia" w:hAnsiTheme="minorEastAsia" w:eastAsiaTheme="minorEastAsia"/>
          <w:b/>
          <w:color w:val="auto"/>
          <w:sz w:val="24"/>
          <w:highlight w:val="none"/>
        </w:rPr>
        <w:t>谈判范围及响应文件中标准和计量单位的使用</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8.1、无论竞争性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中是否要求，供应商所投的服务及所伴随的货物和工程均应符合国家强制性标准。</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8.2 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 </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8.3除竞争性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中有特殊要求外，响应文件中所使用的计量单位，应采用中华人民共和国法定计量单位。</w:t>
      </w:r>
    </w:p>
    <w:p>
      <w:pPr>
        <w:pageBreakBefore w:val="0"/>
        <w:numPr>
          <w:ilvl w:val="0"/>
          <w:numId w:val="0"/>
        </w:numPr>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w:t>
      </w:r>
      <w:r>
        <w:rPr>
          <w:rFonts w:hint="eastAsia" w:asciiTheme="minorEastAsia" w:hAnsiTheme="minorEastAsia" w:eastAsiaTheme="minorEastAsia" w:cstheme="minorEastAsia"/>
          <w:b/>
          <w:color w:val="auto"/>
          <w:sz w:val="24"/>
          <w:szCs w:val="24"/>
          <w:highlight w:val="none"/>
        </w:rPr>
        <w:t xml:space="preserve"> 响应文件的</w:t>
      </w:r>
      <w:r>
        <w:rPr>
          <w:rFonts w:hint="eastAsia" w:asciiTheme="minorEastAsia" w:hAnsiTheme="minorEastAsia" w:eastAsiaTheme="minorEastAsia" w:cstheme="minorEastAsia"/>
          <w:b/>
          <w:color w:val="auto"/>
          <w:sz w:val="24"/>
          <w:szCs w:val="24"/>
          <w:highlight w:val="none"/>
          <w:lang w:val="en-US" w:eastAsia="zh-CN"/>
        </w:rPr>
        <w:t>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9.1 供应商应完整地按竞争性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提供的响应文件格式及要求编写响应文件。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9.2 在第六章“响应文件格式”中要求加盖供应商签章处，供应商均应加盖供应商公章。联合体参加谈判的，除联合体协议及竞争性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 xml:space="preserve">规定须联合体各成员单位各自盖章的证明材料外，响应文件由联合体牵头人按上述规定加盖联合体牵头人单位公章。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9.3 响应文件不得行间插字、涂改或增删。</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9.4</w:t>
      </w:r>
      <w:r>
        <w:rPr>
          <w:rFonts w:hint="eastAsia" w:asciiTheme="minorEastAsia" w:hAnsiTheme="minorEastAsia" w:eastAsiaTheme="minorEastAsia" w:cstheme="minorEastAsia"/>
          <w:color w:val="auto"/>
          <w:sz w:val="24"/>
          <w:szCs w:val="24"/>
          <w:highlight w:val="none"/>
        </w:rPr>
        <w:t>供应商必须对其响应文件的真实性与准确性负责。供应商一旦成交，其响应文件将作为合同的重要组成部分。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供应商提供的</w:t>
      </w:r>
      <w:r>
        <w:rPr>
          <w:rFonts w:hint="eastAsia" w:asciiTheme="minorEastAsia" w:hAnsiTheme="minorEastAsia" w:eastAsiaTheme="minorEastAsia" w:cstheme="minorEastAsia"/>
          <w:color w:val="auto"/>
          <w:sz w:val="24"/>
          <w:szCs w:val="24"/>
          <w:highlight w:val="none"/>
          <w:lang w:val="en-US" w:eastAsia="zh-CN"/>
        </w:rPr>
        <w:t>货物</w:t>
      </w:r>
      <w:r>
        <w:rPr>
          <w:rFonts w:hint="eastAsia" w:asciiTheme="minorEastAsia" w:hAnsiTheme="minorEastAsia" w:eastAsiaTheme="minorEastAsia" w:cstheme="minorEastAsia"/>
          <w:color w:val="auto"/>
          <w:sz w:val="24"/>
          <w:szCs w:val="24"/>
          <w:highlight w:val="none"/>
        </w:rPr>
        <w:t>能满足</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文件约定的实质性要求。否则，其响应文件在评审时有可能被认为是对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文件未做出实质性的响应，而终止对其作进一步的评审。</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.1、供应商应在</w:t>
      </w:r>
      <w:r>
        <w:rPr>
          <w:rFonts w:hint="eastAsia" w:asciiTheme="minorEastAsia" w:hAnsiTheme="minorEastAsia" w:eastAsiaTheme="minorEastAsia" w:cstheme="minorEastAsia"/>
          <w:color w:val="auto"/>
          <w:sz w:val="24"/>
          <w:szCs w:val="24"/>
          <w:highlight w:val="none"/>
          <w:lang w:eastAsia="zh-CN"/>
        </w:rPr>
        <w:t>分项</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eastAsia="zh-CN"/>
        </w:rPr>
        <w:t>明细</w:t>
      </w:r>
      <w:r>
        <w:rPr>
          <w:rFonts w:hint="eastAsia" w:asciiTheme="minorEastAsia" w:hAnsiTheme="minorEastAsia" w:eastAsiaTheme="minorEastAsia" w:cstheme="minorEastAsia"/>
          <w:color w:val="auto"/>
          <w:sz w:val="24"/>
          <w:szCs w:val="24"/>
          <w:highlight w:val="none"/>
        </w:rPr>
        <w:t>表上标明分项服务、伴随的货物和工程的价格（如适用）和总价，未标明的视同包含在谈判报价中。</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.2、除非特别要求，每个项目（或每个包）只允许有一个方案、一个报价。多方案、多报价的响应文件将视为响应无效。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本项目采用总价包干，谈判报价应当包括满足本次谈判全部采购需求所应提供的服务，以及伴随的货物和工程。所有内容均应以人民币报价，供应商的谈判报价应遵守《中华人民共和国价格法》。</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10.4 报价在合同履行过程中是固定不变的，不得以任何理由予以变更。任何包含价格调整要求的谈判 ，其响应文件将被认定为响应无效。</w:t>
      </w:r>
    </w:p>
    <w:p>
      <w:pPr>
        <w:pageBreakBefore w:val="0"/>
        <w:kinsoku/>
        <w:overflowPunct/>
        <w:topLinePunct w:val="0"/>
        <w:bidi w:val="0"/>
        <w:snapToGrid w:val="0"/>
        <w:spacing w:line="560" w:lineRule="exact"/>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10.5采购人不接受具有附加条件的报价。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10.6 报价其他情况：</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.1、响应文件中</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与响应文件中相应内容不一致的,以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.2、若大写金额和小写金额不一致的，以大写金额为准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.3、单价金额小数点或者百分比有明显错位的，应以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为准，并修正单价。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.4、总价金额与按单价汇总金额不一致的，以单价金额计算结果为准。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同时出现两种以上不一致的，按照以上规定的顺序修正</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但不得超出响应文件的范围或者改变</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响应文件的实质性内容。经供应商确认后产生约束力，供应商不确认的，其</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响应无效。</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响应货币：</w:t>
      </w:r>
      <w:r>
        <w:rPr>
          <w:rFonts w:hint="eastAsia" w:asciiTheme="minorEastAsia" w:hAnsiTheme="minorEastAsia" w:eastAsiaTheme="minorEastAsia" w:cstheme="minorEastAsia"/>
          <w:color w:val="auto"/>
          <w:sz w:val="24"/>
          <w:szCs w:val="24"/>
          <w:highlight w:val="none"/>
        </w:rPr>
        <w:t>人民币。</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2</w:t>
      </w:r>
      <w:r>
        <w:rPr>
          <w:rFonts w:hint="eastAsia" w:asciiTheme="minorEastAsia" w:hAnsiTheme="minorEastAsia" w:eastAsiaTheme="minorEastAsia" w:cstheme="minorEastAsia"/>
          <w:b/>
          <w:color w:val="auto"/>
          <w:sz w:val="24"/>
          <w:szCs w:val="24"/>
          <w:highlight w:val="none"/>
        </w:rPr>
        <w:t>、有以下情形之一的处理：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 xml:space="preserve">12.1 </w:t>
      </w:r>
      <w:r>
        <w:rPr>
          <w:rFonts w:hint="eastAsia" w:asciiTheme="minorEastAsia" w:hAnsiTheme="minorEastAsia" w:eastAsiaTheme="minorEastAsia" w:cstheme="minorEastAsia"/>
          <w:color w:val="auto"/>
          <w:sz w:val="24"/>
          <w:szCs w:val="24"/>
          <w:highlight w:val="none"/>
          <w:lang w:val="en-US" w:eastAsia="zh-CN"/>
        </w:rPr>
        <w:t>供应商有下列情形之一的，处以采购金额千分之五以上千分之十以下的罚款，列入不良行为记录名单，在一至三年内禁止参加我校的政府采购活动，有违法所得的，并处没收违法所得，情节严重的，由工商行政管理机关吊销营业执照；构成犯罪的，依法追究刑事责任：</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）提供虚假材料谋取中标、成交的；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）采取不正当手段诋毁、排挤其他供应商的；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）与采购人、其他供应商或者采购代理机构恶意串通的；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eastAsia="zh-CN"/>
        </w:rPr>
        <w:t>）向采购人、采购代理机构行贿或者提供其他不正当利益的；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）在招标采购过程中与采购人进行协商谈判的；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）拒绝有关部门监督检查或者提供虚假情况的。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供应商有前款第（</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）至（</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）项情形之一的，中标、成交无效。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.2、有下列情形之一的，其响应无效：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（1）不同供应商的</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响应文件由同一单位或者个人编制；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（2）不同供应商委托同一单位或者个人办理</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事宜；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（3）不同供应商的响应文件载明的项目管理成员或联系人员为同一人；</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（4）不同供应商的响应文件异常一致或者</w:t>
      </w:r>
      <w:r>
        <w:rPr>
          <w:rFonts w:hint="eastAsia" w:asciiTheme="minorEastAsia" w:hAnsiTheme="minorEastAsia" w:eastAsiaTheme="minorEastAsia" w:cstheme="minorEastAsia"/>
          <w:color w:val="auto"/>
          <w:sz w:val="24"/>
          <w:szCs w:val="24"/>
          <w:highlight w:val="none"/>
          <w:lang w:eastAsia="zh-CN"/>
        </w:rPr>
        <w:t xml:space="preserve">谈判 </w:t>
      </w:r>
      <w:r>
        <w:rPr>
          <w:rFonts w:hint="eastAsia" w:asciiTheme="minorEastAsia" w:hAnsiTheme="minorEastAsia" w:eastAsiaTheme="minorEastAsia" w:cstheme="minorEastAsia"/>
          <w:color w:val="auto"/>
          <w:sz w:val="24"/>
          <w:szCs w:val="24"/>
          <w:highlight w:val="none"/>
        </w:rPr>
        <w:t>响应报价呈规律性差异；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（5）不同供应商的响应文件相互混装；</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13</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有效期</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 xml:space="preserve">谈判有效期为从响应文件提交截止之日算起的日历天数，谈判有效期详见谈判须知前附表。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在谈判有效期内，供应商的谈判保持有效，供应商不得要求撤销或修改其响应文件。谈判有效期不满足要求的响应，其响应文件将被认定为响应无效。</w:t>
      </w:r>
    </w:p>
    <w:p>
      <w:pPr>
        <w:pStyle w:val="9"/>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9" w:name="_Toc476584424"/>
      <w:bookmarkStart w:id="60" w:name="_Toc54941335"/>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、响应文件</w:t>
      </w:r>
      <w:bookmarkEnd w:id="59"/>
      <w:r>
        <w:rPr>
          <w:rFonts w:hint="eastAsia" w:asciiTheme="minorEastAsia" w:hAnsiTheme="minorEastAsia" w:eastAsiaTheme="minorEastAsia" w:cstheme="minorEastAsia"/>
          <w:color w:val="auto"/>
          <w:sz w:val="24"/>
          <w:szCs w:val="24"/>
          <w:highlight w:val="none"/>
        </w:rPr>
        <w:t>提交</w:t>
      </w:r>
      <w:bookmarkEnd w:id="60"/>
      <w:r>
        <w:rPr>
          <w:rFonts w:hint="eastAsia" w:asciiTheme="minorEastAsia" w:hAnsiTheme="minorEastAsia" w:eastAsiaTheme="minorEastAsia" w:cstheme="minorEastAsia"/>
          <w:color w:val="auto"/>
          <w:sz w:val="24"/>
          <w:szCs w:val="24"/>
          <w:highlight w:val="none"/>
          <w:lang w:val="en-US" w:eastAsia="zh-CN"/>
        </w:rPr>
        <w:t>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须按</w:t>
      </w:r>
      <w:r>
        <w:rPr>
          <w:rFonts w:hint="eastAsia" w:asciiTheme="minorEastAsia" w:hAnsiTheme="minorEastAsia" w:eastAsiaTheme="minorEastAsia" w:cstheme="minorEastAsia"/>
          <w:b w:val="0"/>
          <w:bCs/>
          <w:color w:val="auto"/>
          <w:sz w:val="24"/>
          <w:szCs w:val="24"/>
          <w:highlight w:val="none"/>
          <w:lang w:eastAsia="zh-CN"/>
        </w:rPr>
        <w:t>谈判须知前附表</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递交响应</w:t>
      </w:r>
      <w:r>
        <w:rPr>
          <w:rFonts w:hint="eastAsia" w:asciiTheme="minorEastAsia" w:hAnsiTheme="minorEastAsia" w:eastAsiaTheme="minorEastAsia" w:cstheme="minorEastAsia"/>
          <w:b w:val="0"/>
          <w:bCs/>
          <w:color w:val="auto"/>
          <w:sz w:val="24"/>
          <w:szCs w:val="24"/>
          <w:highlight w:val="none"/>
        </w:rPr>
        <w:t>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rPr>
        <w:t>.2、未按</w:t>
      </w:r>
      <w:r>
        <w:rPr>
          <w:rFonts w:hint="eastAsia" w:asciiTheme="minorEastAsia" w:hAnsiTheme="minorEastAsia" w:eastAsiaTheme="minorEastAsia" w:cstheme="minorEastAsia"/>
          <w:b w:val="0"/>
          <w:bCs/>
          <w:color w:val="auto"/>
          <w:sz w:val="24"/>
          <w:szCs w:val="24"/>
          <w:highlight w:val="none"/>
          <w:lang w:eastAsia="zh-CN"/>
        </w:rPr>
        <w:t>竞争性谈判须知</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w:t>
      </w:r>
      <w:r>
        <w:rPr>
          <w:rFonts w:hint="eastAsia" w:asciiTheme="minorEastAsia" w:hAnsiTheme="minorEastAsia" w:eastAsiaTheme="minorEastAsia" w:cstheme="minorEastAsia"/>
          <w:b w:val="0"/>
          <w:bCs/>
          <w:color w:val="auto"/>
          <w:sz w:val="24"/>
          <w:szCs w:val="24"/>
          <w:highlight w:val="none"/>
        </w:rPr>
        <w:t>的</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文件，将不被接受。</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.3</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应当在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前完成</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现场递交</w:t>
      </w:r>
      <w:r>
        <w:rPr>
          <w:rFonts w:hint="eastAsia" w:asciiTheme="minorEastAsia" w:hAnsiTheme="minorEastAsia" w:eastAsiaTheme="minorEastAsia" w:cstheme="minorEastAsia"/>
          <w:b w:val="0"/>
          <w:bCs/>
          <w:color w:val="auto"/>
          <w:sz w:val="24"/>
          <w:szCs w:val="24"/>
          <w:highlight w:val="none"/>
        </w:rPr>
        <w:t>，未在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前提交有效</w:t>
      </w:r>
      <w:r>
        <w:rPr>
          <w:rFonts w:hint="eastAsia" w:asciiTheme="minorEastAsia" w:hAnsiTheme="minorEastAsia" w:eastAsiaTheme="minorEastAsia" w:cstheme="minorEastAsia"/>
          <w:b w:val="0"/>
          <w:bCs/>
          <w:color w:val="auto"/>
          <w:sz w:val="24"/>
          <w:szCs w:val="24"/>
          <w:highlight w:val="none"/>
          <w:lang w:val="en-US" w:eastAsia="zh-CN"/>
        </w:rPr>
        <w:t>纸质响应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代理机构</w:t>
      </w:r>
      <w:r>
        <w:rPr>
          <w:rFonts w:hint="eastAsia" w:asciiTheme="minorEastAsia" w:hAnsiTheme="minorEastAsia" w:eastAsiaTheme="minorEastAsia" w:cstheme="minorEastAsia"/>
          <w:b w:val="0"/>
          <w:bCs/>
          <w:color w:val="auto"/>
          <w:sz w:val="24"/>
          <w:szCs w:val="24"/>
          <w:highlight w:val="none"/>
        </w:rPr>
        <w:t>不予接收，视为未提交</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bookmarkStart w:id="61" w:name="_Toc54941336"/>
      <w:bookmarkStart w:id="62" w:name="_Toc476584425"/>
      <w:r>
        <w:rPr>
          <w:rFonts w:hint="eastAsia" w:asciiTheme="minorEastAsia" w:hAnsiTheme="minorEastAsia" w:eastAsiaTheme="minorEastAsia" w:cstheme="minorEastAsia"/>
          <w:b/>
          <w:color w:val="auto"/>
          <w:sz w:val="24"/>
          <w:szCs w:val="24"/>
          <w:highlight w:val="none"/>
          <w:lang w:val="en-US" w:eastAsia="zh-CN"/>
        </w:rPr>
        <w:t>15</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响应文件提交截止时间</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应在</w:t>
      </w:r>
      <w:r>
        <w:rPr>
          <w:rFonts w:hint="eastAsia" w:asciiTheme="minorEastAsia" w:hAnsiTheme="minorEastAsia" w:eastAsiaTheme="minorEastAsia" w:cstheme="minorEastAsia"/>
          <w:color w:val="auto"/>
          <w:sz w:val="24"/>
          <w:szCs w:val="24"/>
          <w:highlight w:val="none"/>
          <w:lang w:eastAsia="zh-CN"/>
        </w:rPr>
        <w:t>谈判须知前附表</w:t>
      </w:r>
      <w:r>
        <w:rPr>
          <w:rFonts w:hint="eastAsia" w:asciiTheme="minorEastAsia" w:hAnsiTheme="minorEastAsia" w:eastAsiaTheme="minorEastAsia" w:cstheme="minorEastAsia"/>
          <w:color w:val="auto"/>
          <w:sz w:val="24"/>
          <w:szCs w:val="24"/>
          <w:highlight w:val="none"/>
        </w:rPr>
        <w:t>中约定的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前将</w:t>
      </w:r>
      <w:r>
        <w:rPr>
          <w:rFonts w:hint="eastAsia" w:asciiTheme="minorEastAsia" w:hAnsiTheme="minorEastAsia" w:eastAsiaTheme="minorEastAsia" w:cstheme="minorEastAsia"/>
          <w:color w:val="auto"/>
          <w:sz w:val="24"/>
          <w:szCs w:val="24"/>
          <w:highlight w:val="none"/>
          <w:lang w:val="en-US" w:eastAsia="zh-CN"/>
        </w:rPr>
        <w:t>密封完好的响应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。逾期</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将</w:t>
      </w:r>
      <w:r>
        <w:rPr>
          <w:rFonts w:hint="eastAsia" w:asciiTheme="minorEastAsia" w:hAnsiTheme="minorEastAsia" w:eastAsiaTheme="minorEastAsia" w:cstheme="minorEastAsia"/>
          <w:color w:val="auto"/>
          <w:sz w:val="24"/>
          <w:szCs w:val="24"/>
          <w:highlight w:val="none"/>
        </w:rPr>
        <w:t>不予受理。</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.2、采购人有权按本须知的约定，通过修改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相关条款以延长</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。在此情况下，采购人和</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受</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制约的所有权利和义务均应延长至新的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w:t>
      </w:r>
      <w:r>
        <w:rPr>
          <w:rFonts w:hint="eastAsia" w:asciiTheme="minorEastAsia" w:hAnsiTheme="minorEastAsia" w:eastAsiaTheme="minorEastAsia" w:cstheme="minorEastAsia"/>
          <w:b/>
          <w:color w:val="auto"/>
          <w:sz w:val="24"/>
          <w:szCs w:val="24"/>
          <w:highlight w:val="none"/>
        </w:rPr>
        <w:t>文件的修改与撤回</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提交</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文件以后，在约定的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之前，可以撤回已提交的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文件，补充修改后重新</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.2、在</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之后，</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不得对其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文件做任何修改。</w:t>
      </w:r>
      <w:r>
        <w:rPr>
          <w:rFonts w:hint="eastAsia" w:asciiTheme="minorEastAsia" w:hAnsiTheme="minorEastAsia" w:eastAsiaTheme="minorEastAsia" w:cstheme="minorEastAsia"/>
          <w:color w:val="auto"/>
          <w:sz w:val="24"/>
          <w:szCs w:val="24"/>
          <w:highlight w:val="none"/>
          <w:lang w:eastAsia="zh-CN"/>
        </w:rPr>
        <w:t>但属于谈判小组在评审过程中发现的计算错误并进行核实的修改、按照</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谈判文件和谈判小组的要求重新提交响应文件的，不在此列。</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.3、在规定的</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不得撤回其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p>
    <w:bookmarkEnd w:id="61"/>
    <w:bookmarkEnd w:id="62"/>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时间和地点：</w:t>
      </w:r>
      <w:r>
        <w:rPr>
          <w:rFonts w:hint="eastAsia" w:asciiTheme="minorEastAsia" w:hAnsiTheme="minorEastAsia" w:eastAsiaTheme="minorEastAsia" w:cstheme="minorEastAsia"/>
          <w:color w:val="auto"/>
          <w:sz w:val="24"/>
          <w:szCs w:val="24"/>
          <w:highlight w:val="none"/>
        </w:rPr>
        <w:t>采购单位将在“</w:t>
      </w:r>
      <w:r>
        <w:rPr>
          <w:rFonts w:hint="eastAsia" w:asciiTheme="minorEastAsia" w:hAnsiTheme="minorEastAsia" w:eastAsiaTheme="minorEastAsia" w:cstheme="minorEastAsia"/>
          <w:color w:val="auto"/>
          <w:sz w:val="24"/>
          <w:szCs w:val="24"/>
          <w:highlight w:val="none"/>
          <w:lang w:val="en-US" w:eastAsia="zh-CN"/>
        </w:rPr>
        <w:t>谈判公告</w:t>
      </w:r>
      <w:r>
        <w:rPr>
          <w:rFonts w:hint="eastAsia" w:asciiTheme="minorEastAsia" w:hAnsiTheme="minorEastAsia" w:eastAsiaTheme="minorEastAsia" w:cstheme="minorEastAsia"/>
          <w:color w:val="auto"/>
          <w:sz w:val="24"/>
          <w:szCs w:val="24"/>
          <w:highlight w:val="none"/>
        </w:rPr>
        <w:t>”约定的时间，</w:t>
      </w:r>
      <w:r>
        <w:rPr>
          <w:rFonts w:hint="eastAsia" w:asciiTheme="minorEastAsia" w:hAnsiTheme="minorEastAsia" w:eastAsiaTheme="minorEastAsia" w:cstheme="minorEastAsia"/>
          <w:color w:val="auto"/>
          <w:sz w:val="24"/>
          <w:szCs w:val="24"/>
          <w:highlight w:val="none"/>
          <w:lang w:eastAsia="zh-CN"/>
        </w:rPr>
        <w:t xml:space="preserve">地点谈判 </w:t>
      </w:r>
      <w:r>
        <w:rPr>
          <w:rFonts w:hint="eastAsia" w:asciiTheme="minorEastAsia" w:hAnsiTheme="minorEastAsia" w:eastAsiaTheme="minorEastAsia" w:cstheme="minorEastAsia"/>
          <w:color w:val="auto"/>
          <w:sz w:val="24"/>
          <w:szCs w:val="24"/>
          <w:highlight w:val="none"/>
        </w:rPr>
        <w:t>，项目监督人员、所有</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的法定代表人或其委托代理人必须准时参加。</w:t>
      </w:r>
    </w:p>
    <w:p>
      <w:pPr>
        <w:pageBreakBefore w:val="0"/>
        <w:widowControl/>
        <w:kinsoku/>
        <w:wordWrap/>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18</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eastAsia="zh-CN"/>
        </w:rPr>
        <w:t>响应文件的开启</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本项目要求</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对</w:t>
      </w:r>
      <w:r>
        <w:rPr>
          <w:rFonts w:hint="eastAsia" w:asciiTheme="minorEastAsia" w:hAnsiTheme="minorEastAsia" w:eastAsiaTheme="minorEastAsia" w:cstheme="minorEastAsia"/>
          <w:color w:val="auto"/>
          <w:sz w:val="24"/>
          <w:szCs w:val="24"/>
          <w:highlight w:val="none"/>
          <w:lang w:val="en-US" w:eastAsia="zh-CN"/>
        </w:rPr>
        <w:t>纸质响应</w:t>
      </w:r>
      <w:r>
        <w:rPr>
          <w:rFonts w:hint="eastAsia" w:asciiTheme="minorEastAsia" w:hAnsiTheme="minorEastAsia" w:eastAsiaTheme="minorEastAsia" w:cstheme="minorEastAsia"/>
          <w:color w:val="auto"/>
          <w:sz w:val="24"/>
          <w:szCs w:val="24"/>
          <w:highlight w:val="none"/>
        </w:rPr>
        <w:t>文件实施</w:t>
      </w:r>
      <w:r>
        <w:rPr>
          <w:rFonts w:hint="eastAsia" w:asciiTheme="minorEastAsia" w:hAnsiTheme="minorEastAsia" w:eastAsiaTheme="minorEastAsia" w:cstheme="minorEastAsia"/>
          <w:color w:val="auto"/>
          <w:sz w:val="24"/>
          <w:szCs w:val="24"/>
          <w:highlight w:val="none"/>
          <w:lang w:val="en-US" w:eastAsia="zh-CN"/>
        </w:rPr>
        <w:t>现场递交</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lang w:val="en-US" w:eastAsia="zh-CN"/>
        </w:rPr>
        <w:t>需</w:t>
      </w:r>
      <w:r>
        <w:rPr>
          <w:rFonts w:hint="eastAsia" w:asciiTheme="minorEastAsia" w:hAnsiTheme="minorEastAsia" w:eastAsiaTheme="minorEastAsia" w:cstheme="minorEastAsia"/>
          <w:color w:val="auto"/>
          <w:sz w:val="24"/>
          <w:szCs w:val="24"/>
          <w:highlight w:val="none"/>
        </w:rPr>
        <w:t>到现场参加</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活动。</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18.1 采购人和采购代理机构将按谈判须知前附表中规定的谈判时间和地点组织谈判 。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18.2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时，各响应人应在规定时间前对本单位的响应文件进行解密。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18.3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时，采购人或采购代理机构将通过现场</w:t>
      </w:r>
      <w:r>
        <w:rPr>
          <w:rFonts w:hint="eastAsia" w:asciiTheme="minorEastAsia" w:hAnsiTheme="minorEastAsia" w:eastAsiaTheme="minorEastAsia" w:cstheme="minorEastAsia"/>
          <w:strike w:val="0"/>
          <w:dstrike w:val="0"/>
          <w:color w:val="auto"/>
          <w:sz w:val="24"/>
          <w:szCs w:val="24"/>
          <w:highlight w:val="none"/>
          <w:lang w:val="en-US" w:eastAsia="zh-CN"/>
        </w:rPr>
        <w:t>进行。</w:t>
      </w:r>
      <w:r>
        <w:rPr>
          <w:rFonts w:hint="eastAsia" w:asciiTheme="minorEastAsia" w:hAnsiTheme="minorEastAsia" w:eastAsiaTheme="minorEastAsia" w:cstheme="minorEastAsia"/>
          <w:color w:val="auto"/>
          <w:sz w:val="24"/>
          <w:szCs w:val="24"/>
          <w:highlight w:val="none"/>
          <w:lang w:val="en-US" w:eastAsia="zh-CN"/>
        </w:rPr>
        <w:t xml:space="preserve">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18.4 采购人或采购代理机构将对</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过程进行记录，并存档备查。 </w:t>
      </w:r>
    </w:p>
    <w:p>
      <w:pPr>
        <w:pageBreakBefore w:val="0"/>
        <w:kinsoku/>
        <w:overflowPunct/>
        <w:topLinePunct w:val="0"/>
        <w:bidi w:val="0"/>
        <w:snapToGrid w:val="0"/>
        <w:spacing w:line="560" w:lineRule="exact"/>
        <w:ind w:left="420" w:left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19</w:t>
      </w:r>
      <w:r>
        <w:rPr>
          <w:rFonts w:hint="eastAsia" w:asciiTheme="minorEastAsia" w:hAnsiTheme="minorEastAsia" w:eastAsiaTheme="minorEastAsia" w:cstheme="minorEastAsia"/>
          <w:b/>
          <w:color w:val="auto"/>
          <w:sz w:val="24"/>
          <w:szCs w:val="24"/>
          <w:highlight w:val="none"/>
        </w:rPr>
        <w:t>、响应文件的有效性</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过程中发现有下列情况的，由</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（1）响应文件未按照竞争性谈判文件规定的格式进行编制或未按照竞争性谈判文件规定的要求进行签署、盖章的；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（2）不具备竞争性谈判文件中规定的资格要求的；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（3）报价超过竞争性谈判文件中规定的预算金额或者最高限价的；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（4）响应文件含有采购人不能接受的附加条件的；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（5）法律、法规和竞争性谈判文件规定的其他无效情形。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、供应商存在下列情形之一，经</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(1)被责令停业且处于有效期内的；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(2)财产被接管或冻结可能影响本项目正常实施的；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)法律、法规规定及</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color w:val="auto"/>
          <w:sz w:val="24"/>
          <w:szCs w:val="24"/>
          <w:highlight w:val="none"/>
        </w:rPr>
        <w:t>约定的其他情形。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bookmarkStart w:id="63" w:name="_Toc54941337"/>
      <w:bookmarkStart w:id="64" w:name="_Toc476584426"/>
      <w:r>
        <w:rPr>
          <w:rFonts w:hint="eastAsia" w:asciiTheme="minorEastAsia" w:hAnsiTheme="minorEastAsia" w:eastAsiaTheme="minorEastAsia" w:cstheme="minorEastAsia"/>
          <w:b w:val="0"/>
          <w:color w:val="auto"/>
          <w:kern w:val="2"/>
          <w:sz w:val="24"/>
          <w:szCs w:val="24"/>
          <w:highlight w:val="none"/>
          <w:lang w:val="en-US" w:eastAsia="zh-CN" w:bidi="ar-SA"/>
        </w:rPr>
        <w:t>19.3、</w:t>
      </w:r>
      <w:r>
        <w:rPr>
          <w:rFonts w:hint="eastAsia" w:asciiTheme="minorEastAsia" w:hAnsiTheme="minorEastAsia" w:eastAsiaTheme="minorEastAsia" w:cstheme="minorEastAsia"/>
          <w:color w:val="auto"/>
          <w:sz w:val="24"/>
          <w:szCs w:val="24"/>
          <w:highlight w:val="none"/>
        </w:rPr>
        <w:t>各级人民政府财政部门依法对参加政府采购活动的供应商作出的禁止参加政府采购活动等行政处罚决定在全国范围内生效。供应商受到财政部门依法作出的禁止参加政府采购活动且在有效期内的行政处罚，其响应无效。</w:t>
      </w:r>
    </w:p>
    <w:p>
      <w:pPr>
        <w:pStyle w:val="9"/>
        <w:pageBreakBefore w:val="0"/>
        <w:kinsoku/>
        <w:overflowPunct/>
        <w:topLinePunct w:val="0"/>
        <w:bidi w:val="0"/>
        <w:snapToGrid w:val="0"/>
        <w:spacing w:line="560" w:lineRule="exact"/>
        <w:ind w:firstLine="472" w:firstLineChars="196"/>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w:t>
      </w:r>
      <w:bookmarkEnd w:id="63"/>
      <w:bookmarkEnd w:id="64"/>
      <w:r>
        <w:rPr>
          <w:rFonts w:hint="eastAsia" w:asciiTheme="minorEastAsia" w:hAnsiTheme="minorEastAsia" w:eastAsiaTheme="minorEastAsia" w:cstheme="minorEastAsia"/>
          <w:color w:val="auto"/>
          <w:sz w:val="24"/>
          <w:szCs w:val="24"/>
          <w:highlight w:val="none"/>
          <w:lang w:val="en-US" w:eastAsia="zh-CN"/>
        </w:rPr>
        <w:t>谈判小组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20.1 本项目将依法组建谈判小组，谈判小组成员由 3 人组成，谈判小组及其成员应当依照政府采购的有关规定履行相关职责和义务。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20.2 谈判小组依法对响应文件进行评审，并根据</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规定的程序、评定成交的标准等事项与实质性响应</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 xml:space="preserve">要求的供应商进行谈判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20.3 谈判小组应当从质量和服务均能满足</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实质性响应要求的供应商中，按照评审方法和标准推荐成交候选供应商，并编写评审报告。</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21响应文件的评审和谈判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21.1 采购人和采购代理机构将在谈判须知前附表规定的时间和地点组织谈判 。</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21.2 竞争性谈判采用最低评标价法评审。</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最低评标价法，是指响应文件满足竞争性谈判文件全部实质性要求且最后报价最低</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的供应商为成交候选人的评审方法。</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 谈判小组将按照竞争性谈判文件规定的评审方法和标准对供应商独立进行评</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审。评审程序如下：</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 初审。谈判小组对供应商必须满足和实质性响应的内容进行评审，供应商未实质性响应竞争性谈判文件要求导致响应无效的，谈判小组将以书面询标的方式告知有关供应商。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谈判小组将在响应文件提交截止时间后至评审结束前查询供应商的信用记录。供应商存在不良信用记录的，其响应文件将被认定为响应无效。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21.3.1.1 不良信用记录指：不良信用记录指：（1）供应商被人民法院列入失信被执行人；（</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）供应商被工商行政管理部门列入企业经营异常名录；（</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）供应商被税务部门列入重大税收违法失信主体；（</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）供应商被政府采购监管部门列入政府采购严重违法失信行为记录名单，以及存在《中华人民共和国政府采购法实施条例》第十九条规定的行政处罚记录。以联合体形式参加谈判 的，联合体任何成员存在以上不良信用记录的，联合体谈判将被认定为响应无效。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21.3.1.2 信用信息查询渠道：中国政府采购网（www.ccgp.gov.cn）、“信用中国 ”网站 （ www.creditchina.gov.cn ）</w:t>
      </w:r>
      <w:r>
        <w:rPr>
          <w:rFonts w:hint="eastAsia" w:asciiTheme="minorEastAsia" w:hAnsiTheme="minorEastAsia" w:eastAsiaTheme="minorEastAsia" w:cstheme="minorEastAsia"/>
          <w:color w:val="auto"/>
          <w:kern w:val="2"/>
          <w:sz w:val="24"/>
          <w:szCs w:val="24"/>
          <w:highlight w:val="none"/>
          <w:lang w:val="en-US" w:eastAsia="zh-CN" w:bidi="ar-SA"/>
        </w:rPr>
        <w:t>、</w:t>
      </w:r>
      <w:r>
        <w:rPr>
          <w:rFonts w:ascii="宋体" w:hAnsi="宋体" w:eastAsia="宋体" w:cs="宋体"/>
          <w:color w:val="auto"/>
          <w:sz w:val="24"/>
          <w:szCs w:val="24"/>
          <w:highlight w:val="none"/>
        </w:rPr>
        <w:t>国家企业信用信息公示系统（www.gsxt.gov.cn）</w:t>
      </w:r>
      <w:r>
        <w:rPr>
          <w:rFonts w:hint="eastAsia" w:asciiTheme="minorEastAsia" w:hAnsiTheme="minorEastAsia" w:eastAsiaTheme="minorEastAsia" w:cstheme="minorEastAsia"/>
          <w:b w:val="0"/>
          <w:bCs/>
          <w:color w:val="auto"/>
          <w:sz w:val="24"/>
          <w:szCs w:val="24"/>
          <w:highlight w:val="none"/>
          <w:lang w:val="en-US"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21.3.1.3 信用信息记录方式：供应商不良信用记录以谈判小组查询结果为准。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在本竞争性谈判文件规定的查询时间之外，网站信息发生的任何变更均不作为初审依据。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供应商自行提供的与网站信息不一致的其他证明材料亦不作为初审审查依据。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21.3.2 谈判。初审合格后，谈判小组将按网上加密电子响应文件提交顺序集中与单一供应商分别进行谈判 ，并给予所有参加谈判的供应商平等的谈判机会。</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21.3.3 报价。谈判结束后，谈判小组应当要求所有实质性响应的供应商在规定时间内提交最后报价。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 相关说明。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21.4.1 为保证谈判活动顺利进行，供应商可派相关技术人员进行现场答疑；</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21.4.2 谈判小组根据与供应商谈判情况可能实质性变动竞争性谈判文件的内容，包括采购需求中的技术、服务要求以及合同草案条款。竞争性谈判文件有实质性变动的，经采购人代表确认作为竞争性谈判文件的有效组成部分，竞争性谈判文件将以书面形式通知所有参加谈判的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21.4.3 谈判小组发现供应商的报价或者某些分项报价明显低于其他通过初审的供应商的报价，有可能影响产品质量和不能诚信履约的，应当要求其在</w:t>
      </w:r>
      <w:r>
        <w:rPr>
          <w:rFonts w:hint="eastAsia" w:asciiTheme="minorEastAsia" w:hAnsiTheme="minorEastAsia" w:eastAsiaTheme="minorEastAsia" w:cstheme="minorEastAsia"/>
          <w:b w:val="0"/>
          <w:bCs/>
          <w:strike w:val="0"/>
          <w:dstrike w:val="0"/>
          <w:color w:val="auto"/>
          <w:sz w:val="24"/>
          <w:szCs w:val="24"/>
          <w:highlight w:val="none"/>
          <w:lang w:val="en-US" w:eastAsia="zh-CN"/>
        </w:rPr>
        <w:t>谈判现场谈判小组规定的时间内（30分钟内，以询标函发出时间为准）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提供书面说明，必要时提交相关证明材料；供应商不能证明其报价合理性的，其响应文件将被认定为响应无效。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21.4.4 无论何种原因，即使供应商谈判时携带了证书材料的原件，但响应文件中未提供与之内容完全一致的扫描件的，谈判小组可以视同其未提供。</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21.4.5 谈判小组决定响应文件的响应性及符合性只根据响应文件本身的内容，而不寻求其他外部证据。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21.5 供应商授权代表对谈判过程有疑义，以及认为采购人、采购代理机构相关工作人员有需要回避的情形的，应当场提出询问或者回避申请，并说明理由。</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22.终止竞争性谈判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22.1 出现下列情况之一时，采购人和采购代理机构有权宣布终止竞争性谈判采购，并将理由通知所有供应商：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（1）有效供应商数量不足，导致本次谈判缺乏竞争的；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（2）出现影响采购公正的违法、违规行为的；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（3）因重大变故，采购任务取消的；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（4）政府采购法律法规规定的其他情形。 </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23.响应文件的澄清、说明或更正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23.1 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highlight w:val="none"/>
          <w:lang w:val="en-US" w:eastAsia="zh-CN" w:bidi="ar"/>
        </w:rPr>
      </w:pPr>
      <w:r>
        <w:rPr>
          <w:rFonts w:hint="eastAsia" w:asciiTheme="minorEastAsia" w:hAnsiTheme="minorEastAsia" w:eastAsiaTheme="minorEastAsia" w:cstheme="minorEastAsia"/>
          <w:b w:val="0"/>
          <w:bCs/>
          <w:color w:val="auto"/>
          <w:sz w:val="24"/>
          <w:szCs w:val="24"/>
          <w:highlight w:val="none"/>
          <w:lang w:val="en-US" w:eastAsia="zh-CN"/>
        </w:rPr>
        <w:t>23.2 谈判小组要求供应商澄清、说明或者更正响应文件应当在</w:t>
      </w:r>
      <w:r>
        <w:rPr>
          <w:rFonts w:hint="eastAsia" w:asciiTheme="minorEastAsia" w:hAnsiTheme="minorEastAsia" w:eastAsiaTheme="minorEastAsia" w:cstheme="minorEastAsia"/>
          <w:color w:val="auto"/>
          <w:sz w:val="24"/>
          <w:szCs w:val="24"/>
          <w:highlight w:val="none"/>
          <w:lang w:val="en-US" w:eastAsia="zh-CN"/>
        </w:rPr>
        <w:t>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以书面形式（询标）作出。供应商的澄清、说明或者更正应当由法定代表人或其授权代表签字或者加盖公章。</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如有询标，授权代表（或法定代表人）现场接受询标。因授权代表联系不上、没有莅临现场等情形而无法接受谈判小组询标的，供应商自行承担相关风险。</w:t>
      </w:r>
    </w:p>
    <w:p>
      <w:pPr>
        <w:keepNext w:val="0"/>
        <w:keepLines w:val="0"/>
        <w:pageBreakBefore w:val="0"/>
        <w:widowControl/>
        <w:suppressLineNumbers w:val="0"/>
        <w:kinsoku/>
        <w:overflowPunct/>
        <w:topLinePunct w:val="0"/>
        <w:bidi w:val="0"/>
        <w:snapToGrid w:val="0"/>
        <w:spacing w:line="560" w:lineRule="exact"/>
        <w:ind w:firstLine="241" w:firstLineChars="1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  24.最后报价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24.1谈判并不限定只进行二轮报价，如果谈判小组认为有必要，可以要求供应商进行多轮报价。</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 xml:space="preserve"> 最后报价是供应商响应文件的有效组成部分，最后报价也是签订合同的依据。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供应商提交的最后报价表的格式、填写、盖章须符合竞争性谈判文件的要求。如供应商未在规定时间内（30分钟内）提交最后报价，则视为供应商自愿退出谈判。</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 根据《政府采购促进中小企业发展管理办法》（财库〔2020〕46 号）、《财政部司法部关于政府采购支持监狱企业发展有关问题的通知》（财库〔2014〕68号）和《三部门联合发布关于促进残疾人就业政府采购政策的通知》（财库〔2017〕141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最后报价按照谈判须知前附表中规定的标准扣除后的价格参与评审。对于同时属于小微企业、监狱企业或残疾人福利性单位的，不重复进行最后报价扣除。接受大中型企业与小微企业组成联合体或者允许大中型企业向一家或者多家小微企业分包的，</w:t>
      </w:r>
      <w:r>
        <w:rPr>
          <w:rFonts w:hint="eastAsia" w:asciiTheme="minorEastAsia" w:hAnsiTheme="minorEastAsia" w:eastAsiaTheme="minorEastAsia" w:cstheme="minorEastAsia"/>
          <w:b w:val="0"/>
          <w:bCs w:val="0"/>
          <w:color w:val="auto"/>
          <w:sz w:val="24"/>
          <w:szCs w:val="24"/>
          <w:highlight w:val="none"/>
          <w:lang w:val="en-US" w:eastAsia="zh-CN"/>
        </w:rPr>
        <w:t>对于联合协议或者分包意向协议约定小微企业的合同份额占到合同总金额30%以上的，对联合体或者大中型企业的报价给予4%的扣除，用扣除后的价格参加评审。</w:t>
      </w:r>
      <w:r>
        <w:rPr>
          <w:rFonts w:hint="eastAsia" w:asciiTheme="minorEastAsia" w:hAnsiTheme="minorEastAsia" w:eastAsiaTheme="minorEastAsia" w:cstheme="minorEastAsia"/>
          <w:b w:val="0"/>
          <w:bCs/>
          <w:color w:val="auto"/>
          <w:sz w:val="24"/>
          <w:szCs w:val="24"/>
          <w:highlight w:val="none"/>
          <w:lang w:val="en-US" w:eastAsia="zh-CN"/>
        </w:rPr>
        <w:t xml:space="preserve">组成联合体或者接受分包的小微企业与联合体内其他企业、分包企业之间存在直接控股、管理关系的，不享受价格扣除优惠政策。 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25.成交候选供应商的推荐原则及标准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25.1谈判小组依据本项目竞争性谈判文件所约定的评审方法和标准，按照最后评审报价由低到高的顺序依次推荐成交候选人。</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26.确定成交候选供应商和成交供应商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26.1 谈判小组按照最后评审报价由低到高的顺序和谈判须知前附表中规定确定成交候选人，并标明排列顺序。若最后评审报价相同，</w:t>
      </w:r>
      <w:r>
        <w:rPr>
          <w:rFonts w:hint="eastAsia" w:asciiTheme="minorEastAsia" w:hAnsiTheme="minorEastAsia" w:eastAsiaTheme="minorEastAsia" w:cstheme="minorEastAsia"/>
          <w:b w:val="0"/>
          <w:bCs w:val="0"/>
          <w:color w:val="auto"/>
          <w:sz w:val="24"/>
          <w:szCs w:val="24"/>
          <w:highlight w:val="none"/>
          <w:lang w:val="en-US" w:eastAsia="zh-CN"/>
        </w:rPr>
        <w:t>则采取谈判小组随机抽取的方式确定成交候选顺序。</w:t>
      </w:r>
      <w:r>
        <w:rPr>
          <w:rFonts w:hint="eastAsia" w:asciiTheme="minorEastAsia" w:hAnsiTheme="minorEastAsia" w:eastAsiaTheme="minorEastAsia" w:cstheme="minorEastAsia"/>
          <w:b w:val="0"/>
          <w:bCs/>
          <w:color w:val="auto"/>
          <w:sz w:val="24"/>
          <w:szCs w:val="24"/>
          <w:highlight w:val="none"/>
          <w:lang w:val="en-US" w:eastAsia="zh-CN"/>
        </w:rPr>
        <w:t>排名第一的成交候选人经采购人或采购人授权的谈判小组确定为成交供应商后，由采购代理机构在指定媒体上予以公告。</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27.编写评审报告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27.1 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28.保密要求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28.1 评审将在严格保密的情况下进行。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28.2 有关人员应当遵守评审工作纪律，不得泄露评审文件、评审情况和评审中获悉的国家秘密、商业秘密。</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29.成交结果公告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29.1 为体现“公开、公平、公正”的原则，谈判结束后，采购代理机构将在桐城师范高等专科学校官网公告成交结果。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29.2 成交结果公告内容应当包括采购人及其委托的采购代理机构的名称、 地址、联系方式，项目名称和项目编号，成交供应商名称、地址和成交金额， 主要成交标的</w:t>
      </w:r>
      <w:r>
        <w:rPr>
          <w:rFonts w:hint="eastAsia" w:asciiTheme="minorEastAsia" w:hAnsiTheme="minorEastAsia" w:eastAsiaTheme="minorEastAsia" w:cstheme="minorEastAsia"/>
          <w:color w:val="auto"/>
          <w:sz w:val="24"/>
          <w:szCs w:val="24"/>
          <w:highlight w:val="none"/>
          <w:lang w:val="en-US" w:eastAsia="zh-CN"/>
        </w:rPr>
        <w:t>的名称、服务范围、服务要求、服务时间、服务标准</w:t>
      </w:r>
      <w:r>
        <w:rPr>
          <w:rFonts w:hint="eastAsia" w:asciiTheme="minorEastAsia" w:hAnsiTheme="minorEastAsia" w:eastAsiaTheme="minorEastAsia" w:cstheme="minorEastAsia"/>
          <w:b w:val="0"/>
          <w:bCs/>
          <w:color w:val="auto"/>
          <w:sz w:val="24"/>
          <w:szCs w:val="24"/>
          <w:highlight w:val="none"/>
          <w:lang w:val="en-US" w:eastAsia="zh-CN"/>
        </w:rPr>
        <w:t>， 成交结果公告期限、 评审专家名单以及谈判须知前附表中约定进行公告的内容。</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30.成交通知书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30.1 采购代理机构发布成交结果公告的同时以谈判须知前附表规定的形式向成交供应商发出成交通知书。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30.2 成交通知书对采购人和成交供应商具有同等法律效力。成交通知书发出以后，采购人改变成交结果或者成交供应商放弃成交资格，应当承担相应的法律责任。</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30.3 成交通知书是合同的组成部分。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31.告知谈判结果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31.1  采购代理机构对未成交的供应商不做未成交原因的解释。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32.履约保证金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成交供应商应按照谈判须知前附表规定缴纳履约保证金。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33.成交服务费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33.1 本项目成交服务费为1.5%。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34.签订合同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34.1 采购人与成交供应商应当自发出成交通知书之日起7个工作日内签订合同，采购合同签订之日起2个工作日内完成政府采购合同公开。</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34.2 竞争性谈判文件、成交供应商的响应文件及其澄清文件等，均为签订合同的依据。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34.3 成交供应商拒绝与采购人签订合同的，采购人可以按照评审报告推荐的成交候选供应商名单排序，确定下一成交候选供应商为成交供应商，也可以重新开展采购活动。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 xml:space="preserve">34.4 依据《政府采购促进中小企业发展管理办法》（财库〔2020〕46 号）规定享受扶持政策获得政府采购合同的，小微企业不得将合同分包给大中型企业， 中型企业不得将合同分包给大型企业。 </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35.质疑和投诉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35.1 供应商认为竞争性谈判文件、采购过程、成交结果使自己的权益受到损害的，</w:t>
      </w:r>
      <w:r>
        <w:rPr>
          <w:rFonts w:hint="eastAsia" w:asciiTheme="minorEastAsia" w:hAnsiTheme="minorEastAsia" w:eastAsiaTheme="minorEastAsia" w:cstheme="minorEastAsia"/>
          <w:color w:val="auto"/>
          <w:sz w:val="24"/>
          <w:szCs w:val="24"/>
          <w:highlight w:val="none"/>
          <w:lang w:val="en-US" w:eastAsia="zh-CN"/>
        </w:rPr>
        <w:t xml:space="preserve">可以在知道或者应知其权益受到损害之日起七个工作日内，以书面形式向采购人或其委托的采购代理机构提出质疑。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35.2 上述应知其权益受到损害之日，是指：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（1）对</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文件提出质疑的，为获取</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文件或者</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 xml:space="preserve">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（2）对采购过程提出质疑的，为各采购程序环节结束之日；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（3）对成交标结果提出质疑的，为成交结果公告期限届满之日。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35.3 质疑供应商应按照财政部制定的《政府采购质疑函范本》格式(详见谈判文件第七章) 和《政府采购质疑和投诉办法》的要求，在法定质疑期内以书面形式提出质疑，超出法定质疑期提交的质疑将被拒绝。针对同一采购程序环节的质疑应一次性提出。</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35.4 采购代理机构质疑函接收部门、联系电话和通讯地址，见谈判须知前附表。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35.5质疑供应商对采购人、采购代理机构的答复不满意， 或采购人、采购代理机构未在规定时间内做出答复的，可以在答复期满后15个工作日内向谈判须知前附表列明的监管部门提起投诉。</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36、未尽事宜</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按《中华人民共和国政府采购法》《中华人民共和国政府采购法实施条例》及其他有关法律法规规定执行。</w:t>
      </w:r>
      <w:r>
        <w:rPr>
          <w:rFonts w:hint="eastAsia" w:asciiTheme="minorEastAsia" w:hAnsiTheme="minorEastAsia" w:eastAsiaTheme="minorEastAsia" w:cstheme="minorEastAsia"/>
          <w:color w:val="auto"/>
          <w:sz w:val="24"/>
          <w:szCs w:val="24"/>
          <w:highlight w:val="none"/>
        </w:rPr>
        <w:t>需要补充的其他内容，见</w:t>
      </w:r>
      <w:r>
        <w:rPr>
          <w:rFonts w:hint="eastAsia" w:asciiTheme="minorEastAsia" w:hAnsiTheme="minorEastAsia" w:eastAsiaTheme="minorEastAsia" w:cstheme="minorEastAsia"/>
          <w:color w:val="auto"/>
          <w:sz w:val="24"/>
          <w:szCs w:val="24"/>
          <w:highlight w:val="none"/>
          <w:u w:val="single"/>
          <w:lang w:val="en-US" w:eastAsia="zh-CN"/>
        </w:rPr>
        <w:t>谈判</w:t>
      </w:r>
      <w:r>
        <w:rPr>
          <w:rFonts w:hint="eastAsia" w:asciiTheme="minorEastAsia" w:hAnsiTheme="minorEastAsia" w:eastAsiaTheme="minorEastAsia" w:cstheme="minorEastAsia"/>
          <w:color w:val="auto"/>
          <w:sz w:val="24"/>
          <w:szCs w:val="24"/>
          <w:highlight w:val="none"/>
          <w:u w:val="single"/>
        </w:rPr>
        <w:t>须知前附表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37、备注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default" w:asciiTheme="minorEastAsia" w:hAnsiTheme="minorEastAsia" w:eastAsiaTheme="minorEastAsia" w:cstheme="minorEastAsia"/>
          <w:b w:val="0"/>
          <w:bCs/>
          <w:color w:val="auto"/>
          <w:sz w:val="24"/>
          <w:szCs w:val="24"/>
          <w:highlight w:val="none"/>
          <w:lang w:val="en-US" w:eastAsia="zh-CN"/>
        </w:rPr>
        <w:sectPr>
          <w:footerReference r:id="rId4" w:type="default"/>
          <w:pgSz w:w="11906" w:h="16838"/>
          <w:pgMar w:top="1418" w:right="1418" w:bottom="1276" w:left="1418" w:header="680" w:footer="680" w:gutter="0"/>
          <w:pgNumType w:fmt="decimal" w:start="1"/>
          <w:cols w:space="720" w:num="1"/>
          <w:docGrid w:type="lines" w:linePitch="312" w:charSpace="0"/>
        </w:sectPr>
      </w:pPr>
      <w:r>
        <w:rPr>
          <w:rFonts w:hint="eastAsia" w:asciiTheme="minorEastAsia" w:hAnsiTheme="minorEastAsia" w:eastAsiaTheme="minorEastAsia" w:cstheme="minorEastAsia"/>
          <w:b w:val="0"/>
          <w:bCs/>
          <w:color w:val="auto"/>
          <w:sz w:val="24"/>
          <w:szCs w:val="24"/>
          <w:highlight w:val="none"/>
          <w:lang w:val="en-US" w:eastAsia="zh-CN"/>
        </w:rPr>
        <w:t>本谈判文件第五章合同格式内容以供参考，具体合同内容以采购人与成交供应商所签订的合同为准。</w:t>
      </w:r>
    </w:p>
    <w:p>
      <w:pPr>
        <w:pStyle w:val="3"/>
        <w:numPr>
          <w:ilvl w:val="0"/>
          <w:numId w:val="0"/>
        </w:numPr>
        <w:tabs>
          <w:tab w:val="clear" w:pos="1440"/>
          <w:tab w:val="clear" w:pos="5670"/>
        </w:tabs>
        <w:spacing w:beforeLines="0" w:afterLines="0"/>
        <w:jc w:val="center"/>
        <w:rPr>
          <w:rFonts w:hint="eastAsia" w:ascii="Arial" w:hAnsi="Arial"/>
          <w:color w:val="auto"/>
          <w:kern w:val="2"/>
          <w:sz w:val="32"/>
          <w:szCs w:val="32"/>
          <w:highlight w:val="none"/>
          <w:lang w:val="en-US" w:eastAsia="zh-CN"/>
        </w:rPr>
      </w:pPr>
      <w:bookmarkStart w:id="65" w:name="_Toc12353"/>
      <w:r>
        <w:rPr>
          <w:rFonts w:hint="eastAsia" w:ascii="Arial" w:hAnsi="Arial"/>
          <w:color w:val="auto"/>
          <w:kern w:val="2"/>
          <w:sz w:val="32"/>
          <w:szCs w:val="32"/>
          <w:highlight w:val="none"/>
          <w:lang w:val="en-US" w:eastAsia="zh-CN"/>
        </w:rPr>
        <w:t>第三章 采购需求</w:t>
      </w:r>
      <w:bookmarkEnd w:id="65"/>
    </w:p>
    <w:p>
      <w:pPr>
        <w:rPr>
          <w:rFonts w:hint="eastAsia"/>
          <w:sz w:val="28"/>
          <w:szCs w:val="28"/>
          <w:lang w:eastAsia="zh-CN"/>
        </w:rPr>
      </w:pPr>
      <w:bookmarkStart w:id="66" w:name="_Toc16371"/>
      <w:r>
        <w:rPr>
          <w:rFonts w:hint="eastAsia"/>
          <w:b/>
          <w:bCs/>
          <w:sz w:val="28"/>
          <w:szCs w:val="28"/>
        </w:rPr>
        <w:t>服务需求</w:t>
      </w:r>
      <w:r>
        <w:rPr>
          <w:rFonts w:hint="eastAsia"/>
          <w:sz w:val="28"/>
          <w:szCs w:val="28"/>
          <w:lang w:eastAsia="zh-CN"/>
        </w:rPr>
        <w:t>：</w:t>
      </w:r>
    </w:p>
    <w:p>
      <w:pPr>
        <w:pStyle w:val="416"/>
        <w:numPr>
          <w:ilvl w:val="0"/>
          <w:numId w:val="6"/>
        </w:numPr>
        <w:ind w:firstLineChars="0"/>
        <w:rPr>
          <w:sz w:val="28"/>
          <w:szCs w:val="28"/>
        </w:rPr>
      </w:pPr>
      <w:r>
        <w:rPr>
          <w:rFonts w:hint="eastAsia"/>
          <w:sz w:val="28"/>
          <w:szCs w:val="28"/>
        </w:rPr>
        <w:t>维修材料，按需分批次送货，并按实结算。</w:t>
      </w:r>
    </w:p>
    <w:p>
      <w:pPr>
        <w:pStyle w:val="416"/>
        <w:numPr>
          <w:ilvl w:val="0"/>
          <w:numId w:val="6"/>
        </w:numPr>
        <w:ind w:firstLineChars="0"/>
        <w:rPr>
          <w:sz w:val="28"/>
          <w:szCs w:val="28"/>
        </w:rPr>
      </w:pPr>
      <w:r>
        <w:rPr>
          <w:rFonts w:hint="eastAsia"/>
          <w:sz w:val="28"/>
          <w:szCs w:val="28"/>
        </w:rPr>
        <w:t>要求供货商在接到学校送货通知后，48小时内响应学校供货需求。如遇到抢修等特殊情况，必须及时送货。</w:t>
      </w:r>
    </w:p>
    <w:p>
      <w:pPr>
        <w:pStyle w:val="416"/>
        <w:numPr>
          <w:ilvl w:val="0"/>
          <w:numId w:val="6"/>
        </w:numPr>
        <w:ind w:firstLineChars="0"/>
        <w:rPr>
          <w:sz w:val="28"/>
          <w:szCs w:val="28"/>
        </w:rPr>
      </w:pPr>
      <w:r>
        <w:rPr>
          <w:rFonts w:hint="eastAsia"/>
          <w:sz w:val="28"/>
          <w:szCs w:val="28"/>
        </w:rPr>
        <w:t>供货商所提供的维修材料必须质保6个月，在质保期内损坏的，供货商必须无偿更换。</w:t>
      </w:r>
    </w:p>
    <w:p>
      <w:pPr>
        <w:jc w:val="center"/>
        <w:rPr>
          <w:rFonts w:hint="eastAsia"/>
          <w:b/>
          <w:sz w:val="30"/>
          <w:szCs w:val="30"/>
          <w:lang w:val="en-US" w:eastAsia="zh-CN"/>
        </w:rPr>
      </w:pPr>
    </w:p>
    <w:p>
      <w:pPr>
        <w:jc w:val="both"/>
        <w:rPr>
          <w:rFonts w:hint="default"/>
          <w:b/>
          <w:sz w:val="30"/>
          <w:szCs w:val="30"/>
          <w:lang w:val="en-US" w:eastAsia="zh-CN"/>
        </w:rPr>
      </w:pPr>
    </w:p>
    <w:p>
      <w:pPr>
        <w:jc w:val="both"/>
        <w:rPr>
          <w:rFonts w:hint="eastAsia"/>
          <w:b/>
          <w:sz w:val="30"/>
          <w:szCs w:val="30"/>
          <w:lang w:val="en-US" w:eastAsia="zh-CN"/>
        </w:rPr>
      </w:pPr>
      <w:r>
        <w:rPr>
          <w:rFonts w:hint="eastAsia"/>
          <w:b/>
          <w:sz w:val="30"/>
          <w:szCs w:val="30"/>
          <w:lang w:val="en-US" w:eastAsia="zh-CN"/>
        </w:rPr>
        <w:t>采购清单如下：</w:t>
      </w: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default"/>
          <w:b/>
          <w:sz w:val="30"/>
          <w:szCs w:val="30"/>
          <w:lang w:val="en-US" w:eastAsia="zh-CN"/>
        </w:rPr>
      </w:pPr>
    </w:p>
    <w:tbl>
      <w:tblPr>
        <w:tblStyle w:val="62"/>
        <w:tblpPr w:leftFromText="180" w:rightFromText="180" w:vertAnchor="page" w:horzAnchor="page" w:tblpX="836" w:tblpY="1699"/>
        <w:tblW w:w="10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550"/>
        <w:gridCol w:w="4287"/>
        <w:gridCol w:w="675"/>
        <w:gridCol w:w="775"/>
        <w:gridCol w:w="738"/>
        <w:gridCol w:w="819"/>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70" w:type="dxa"/>
            <w:noWrap w:val="0"/>
            <w:vAlign w:val="top"/>
          </w:tcPr>
          <w:p>
            <w:pPr>
              <w:jc w:val="center"/>
              <w:rPr>
                <w:b/>
                <w:bCs/>
              </w:rPr>
            </w:pPr>
            <w:r>
              <w:rPr>
                <w:rFonts w:hint="eastAsia"/>
                <w:b/>
                <w:bCs/>
              </w:rPr>
              <w:t>序号</w:t>
            </w:r>
          </w:p>
        </w:tc>
        <w:tc>
          <w:tcPr>
            <w:tcW w:w="1550" w:type="dxa"/>
            <w:noWrap w:val="0"/>
            <w:vAlign w:val="top"/>
          </w:tcPr>
          <w:p>
            <w:pPr>
              <w:jc w:val="center"/>
              <w:rPr>
                <w:b/>
                <w:bCs/>
              </w:rPr>
            </w:pPr>
            <w:r>
              <w:rPr>
                <w:rFonts w:hint="eastAsia" w:ascii="Calibri" w:hAnsi="Calibri" w:eastAsia="宋体" w:cs="Times New Roman"/>
                <w:b/>
                <w:bCs/>
                <w:lang w:eastAsia="zh-CN"/>
              </w:rPr>
              <w:t>品名</w:t>
            </w:r>
          </w:p>
        </w:tc>
        <w:tc>
          <w:tcPr>
            <w:tcW w:w="4287" w:type="dxa"/>
            <w:noWrap w:val="0"/>
            <w:vAlign w:val="top"/>
          </w:tcPr>
          <w:p>
            <w:pPr>
              <w:jc w:val="center"/>
              <w:rPr>
                <w:b/>
                <w:bCs/>
              </w:rPr>
            </w:pPr>
            <w:r>
              <w:rPr>
                <w:rFonts w:hint="eastAsia"/>
                <w:b/>
                <w:bCs/>
              </w:rPr>
              <w:t>型号/规格/要求</w:t>
            </w:r>
          </w:p>
        </w:tc>
        <w:tc>
          <w:tcPr>
            <w:tcW w:w="675" w:type="dxa"/>
            <w:noWrap w:val="0"/>
            <w:vAlign w:val="top"/>
          </w:tcPr>
          <w:p>
            <w:pPr>
              <w:jc w:val="center"/>
              <w:rPr>
                <w:b/>
                <w:bCs/>
              </w:rPr>
            </w:pPr>
            <w:r>
              <w:rPr>
                <w:rFonts w:hint="eastAsia"/>
                <w:b/>
                <w:bCs/>
              </w:rPr>
              <w:t>单位</w:t>
            </w:r>
          </w:p>
        </w:tc>
        <w:tc>
          <w:tcPr>
            <w:tcW w:w="775" w:type="dxa"/>
            <w:noWrap w:val="0"/>
            <w:vAlign w:val="top"/>
          </w:tcPr>
          <w:p>
            <w:pPr>
              <w:jc w:val="center"/>
              <w:rPr>
                <w:b/>
                <w:bCs/>
              </w:rPr>
            </w:pPr>
            <w:r>
              <w:rPr>
                <w:rFonts w:hint="eastAsia"/>
                <w:b/>
                <w:bCs/>
              </w:rPr>
              <w:t>数量</w:t>
            </w:r>
          </w:p>
        </w:tc>
        <w:tc>
          <w:tcPr>
            <w:tcW w:w="738" w:type="dxa"/>
            <w:noWrap w:val="0"/>
            <w:vAlign w:val="top"/>
          </w:tcPr>
          <w:p>
            <w:pPr>
              <w:jc w:val="center"/>
              <w:rPr>
                <w:b/>
                <w:bCs/>
              </w:rPr>
            </w:pPr>
            <w:r>
              <w:rPr>
                <w:rFonts w:hint="eastAsia"/>
                <w:b/>
                <w:bCs/>
              </w:rPr>
              <w:t>单价</w:t>
            </w:r>
          </w:p>
        </w:tc>
        <w:tc>
          <w:tcPr>
            <w:tcW w:w="819" w:type="dxa"/>
            <w:noWrap w:val="0"/>
            <w:vAlign w:val="top"/>
          </w:tcPr>
          <w:p>
            <w:pPr>
              <w:jc w:val="center"/>
              <w:rPr>
                <w:rFonts w:hint="default" w:eastAsia="宋体"/>
                <w:b/>
                <w:bCs/>
                <w:lang w:val="en-US" w:eastAsia="zh-CN"/>
              </w:rPr>
            </w:pPr>
            <w:r>
              <w:rPr>
                <w:rFonts w:hint="eastAsia"/>
                <w:b/>
                <w:bCs/>
                <w:lang w:val="en-US" w:eastAsia="zh-CN"/>
              </w:rPr>
              <w:t>总价</w:t>
            </w:r>
          </w:p>
        </w:tc>
        <w:tc>
          <w:tcPr>
            <w:tcW w:w="1187" w:type="dxa"/>
            <w:noWrap w:val="0"/>
            <w:vAlign w:val="top"/>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0" w:type="dxa"/>
            <w:noWrap w:val="0"/>
            <w:vAlign w:val="top"/>
          </w:tcPr>
          <w:p>
            <w:pPr>
              <w:jc w:val="center"/>
            </w:pPr>
            <w:r>
              <w:rPr>
                <w:rFonts w:hint="eastAsia"/>
              </w:rPr>
              <w:t>1</w:t>
            </w:r>
          </w:p>
        </w:tc>
        <w:tc>
          <w:tcPr>
            <w:tcW w:w="1550" w:type="dxa"/>
            <w:noWrap w:val="0"/>
            <w:vAlign w:val="top"/>
          </w:tcPr>
          <w:p>
            <w:pPr>
              <w:jc w:val="center"/>
            </w:pPr>
            <w:r>
              <w:rPr>
                <w:rFonts w:hint="eastAsia"/>
              </w:rPr>
              <w:t>台盆单口龙头</w:t>
            </w:r>
          </w:p>
        </w:tc>
        <w:tc>
          <w:tcPr>
            <w:tcW w:w="4287" w:type="dxa"/>
            <w:noWrap w:val="0"/>
            <w:vAlign w:val="top"/>
          </w:tcPr>
          <w:p>
            <w:pPr>
              <w:jc w:val="center"/>
            </w:pPr>
            <w:r>
              <w:rPr>
                <w:rFonts w:hint="eastAsia"/>
              </w:rPr>
              <w:t>15（铜、高度1cm）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1</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rPr>
                <w:rFonts w:hint="default" w:eastAsia="宋体"/>
                <w:lang w:val="en-US" w:eastAsia="zh-CN"/>
              </w:rP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70" w:type="dxa"/>
            <w:noWrap w:val="0"/>
            <w:vAlign w:val="top"/>
          </w:tcPr>
          <w:p>
            <w:pPr>
              <w:jc w:val="center"/>
            </w:pPr>
            <w:r>
              <w:rPr>
                <w:rFonts w:hint="eastAsia"/>
              </w:rPr>
              <w:t>2</w:t>
            </w:r>
          </w:p>
        </w:tc>
        <w:tc>
          <w:tcPr>
            <w:tcW w:w="1550" w:type="dxa"/>
            <w:noWrap w:val="0"/>
            <w:vAlign w:val="top"/>
          </w:tcPr>
          <w:p>
            <w:pPr>
              <w:jc w:val="center"/>
            </w:pPr>
            <w:r>
              <w:rPr>
                <w:rFonts w:hint="eastAsia"/>
              </w:rPr>
              <w:t>三角阀</w:t>
            </w:r>
          </w:p>
        </w:tc>
        <w:tc>
          <w:tcPr>
            <w:tcW w:w="4287" w:type="dxa"/>
            <w:noWrap w:val="0"/>
            <w:vAlign w:val="top"/>
          </w:tcPr>
          <w:p>
            <w:pPr>
              <w:jc w:val="center"/>
            </w:pPr>
            <w:r>
              <w:rPr>
                <w:rFonts w:hint="eastAsia"/>
              </w:rPr>
              <w:t>15#铜</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2</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3</w:t>
            </w:r>
          </w:p>
        </w:tc>
        <w:tc>
          <w:tcPr>
            <w:tcW w:w="1550" w:type="dxa"/>
            <w:noWrap w:val="0"/>
            <w:vAlign w:val="top"/>
          </w:tcPr>
          <w:p>
            <w:pPr>
              <w:jc w:val="center"/>
            </w:pPr>
            <w:r>
              <w:rPr>
                <w:rFonts w:hint="eastAsia"/>
              </w:rPr>
              <w:t>软管</w:t>
            </w:r>
          </w:p>
        </w:tc>
        <w:tc>
          <w:tcPr>
            <w:tcW w:w="4287" w:type="dxa"/>
            <w:noWrap w:val="0"/>
            <w:vAlign w:val="top"/>
          </w:tcPr>
          <w:p>
            <w:pPr>
              <w:jc w:val="center"/>
            </w:pPr>
            <w:r>
              <w:rPr>
                <w:rFonts w:hint="eastAsia"/>
              </w:rPr>
              <w:t>40cm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1</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0" w:type="dxa"/>
            <w:noWrap w:val="0"/>
            <w:vAlign w:val="top"/>
          </w:tcPr>
          <w:p>
            <w:pPr>
              <w:jc w:val="center"/>
            </w:pPr>
            <w:r>
              <w:rPr>
                <w:rFonts w:hint="eastAsia"/>
              </w:rPr>
              <w:t>4</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20#（4*20*2.8）</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70" w:type="dxa"/>
            <w:noWrap w:val="0"/>
            <w:vAlign w:val="top"/>
          </w:tcPr>
          <w:p>
            <w:pPr>
              <w:jc w:val="center"/>
            </w:pPr>
            <w:r>
              <w:rPr>
                <w:rFonts w:hint="eastAsia"/>
              </w:rPr>
              <w:t>5</w:t>
            </w:r>
          </w:p>
        </w:tc>
        <w:tc>
          <w:tcPr>
            <w:tcW w:w="1550" w:type="dxa"/>
            <w:noWrap w:val="0"/>
            <w:vAlign w:val="top"/>
          </w:tcPr>
          <w:p>
            <w:pPr>
              <w:jc w:val="center"/>
            </w:pPr>
            <w:r>
              <w:t>P</w:t>
            </w:r>
            <w:r>
              <w:rPr>
                <w:rFonts w:hint="eastAsia"/>
              </w:rPr>
              <w:t>pr铜闸阀</w:t>
            </w:r>
          </w:p>
        </w:tc>
        <w:tc>
          <w:tcPr>
            <w:tcW w:w="4287" w:type="dxa"/>
            <w:noWrap w:val="0"/>
            <w:vAlign w:val="top"/>
          </w:tcPr>
          <w:p>
            <w:pPr>
              <w:jc w:val="center"/>
            </w:pPr>
            <w:r>
              <w:rPr>
                <w:rFonts w:hint="eastAsia"/>
              </w:rPr>
              <w:t>20#</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0" w:type="dxa"/>
            <w:noWrap w:val="0"/>
            <w:vAlign w:val="top"/>
          </w:tcPr>
          <w:p>
            <w:pPr>
              <w:jc w:val="center"/>
            </w:pPr>
            <w:r>
              <w:rPr>
                <w:rFonts w:hint="eastAsia"/>
              </w:rPr>
              <w:t>6</w:t>
            </w:r>
          </w:p>
        </w:tc>
        <w:tc>
          <w:tcPr>
            <w:tcW w:w="1550" w:type="dxa"/>
            <w:noWrap w:val="0"/>
            <w:vAlign w:val="top"/>
          </w:tcPr>
          <w:p>
            <w:pPr>
              <w:jc w:val="center"/>
            </w:pPr>
            <w:r>
              <w:rPr>
                <w:rFonts w:hint="eastAsia"/>
              </w:rPr>
              <w:t>冲水箱</w:t>
            </w:r>
          </w:p>
        </w:tc>
        <w:tc>
          <w:tcPr>
            <w:tcW w:w="4287" w:type="dxa"/>
            <w:noWrap w:val="0"/>
            <w:vAlign w:val="top"/>
          </w:tcPr>
          <w:p>
            <w:pPr>
              <w:jc w:val="center"/>
            </w:pPr>
            <w:r>
              <w:rPr>
                <w:rFonts w:hint="eastAsia"/>
              </w:rPr>
              <w:t>蹲便器低位冲水箱（365*120*415，厚度不低于3mm）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rPr>
              <w:t>400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0" w:type="dxa"/>
            <w:noWrap w:val="0"/>
            <w:vAlign w:val="top"/>
          </w:tcPr>
          <w:p>
            <w:pPr>
              <w:jc w:val="center"/>
            </w:pPr>
            <w:r>
              <w:rPr>
                <w:rFonts w:hint="eastAsia"/>
              </w:rPr>
              <w:t>7</w:t>
            </w:r>
          </w:p>
        </w:tc>
        <w:tc>
          <w:tcPr>
            <w:tcW w:w="1550" w:type="dxa"/>
            <w:noWrap w:val="0"/>
            <w:vAlign w:val="top"/>
          </w:tcPr>
          <w:p>
            <w:pPr>
              <w:jc w:val="center"/>
            </w:pPr>
            <w:r>
              <w:rPr>
                <w:rFonts w:hint="eastAsia"/>
              </w:rPr>
              <w:t>小便池冲水阀</w:t>
            </w:r>
          </w:p>
        </w:tc>
        <w:tc>
          <w:tcPr>
            <w:tcW w:w="4287" w:type="dxa"/>
            <w:noWrap w:val="0"/>
            <w:vAlign w:val="top"/>
          </w:tcPr>
          <w:p>
            <w:pPr>
              <w:jc w:val="center"/>
            </w:pPr>
            <w:r>
              <w:rPr>
                <w:rFonts w:hint="eastAsia"/>
              </w:rPr>
              <w:t>铜、手按</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670" w:type="dxa"/>
            <w:noWrap w:val="0"/>
            <w:vAlign w:val="top"/>
          </w:tcPr>
          <w:p>
            <w:pPr>
              <w:jc w:val="center"/>
            </w:pPr>
            <w:r>
              <w:rPr>
                <w:rFonts w:hint="eastAsia"/>
              </w:rPr>
              <w:t>8</w:t>
            </w:r>
          </w:p>
        </w:tc>
        <w:tc>
          <w:tcPr>
            <w:tcW w:w="1550" w:type="dxa"/>
            <w:noWrap w:val="0"/>
            <w:vAlign w:val="top"/>
          </w:tcPr>
          <w:p>
            <w:pPr>
              <w:jc w:val="center"/>
            </w:pPr>
            <w:r>
              <w:rPr>
                <w:rFonts w:hint="eastAsia"/>
              </w:rPr>
              <w:t>台盆下水</w:t>
            </w:r>
          </w:p>
        </w:tc>
        <w:tc>
          <w:tcPr>
            <w:tcW w:w="4287" w:type="dxa"/>
            <w:noWrap w:val="0"/>
            <w:vAlign w:val="top"/>
          </w:tcPr>
          <w:p>
            <w:pPr>
              <w:jc w:val="center"/>
            </w:pPr>
            <w:r>
              <w:rPr>
                <w:rFonts w:hint="eastAsia"/>
              </w:rPr>
              <w:t>不锈钢连波纹管</w:t>
            </w:r>
          </w:p>
        </w:tc>
        <w:tc>
          <w:tcPr>
            <w:tcW w:w="675" w:type="dxa"/>
            <w:noWrap w:val="0"/>
            <w:vAlign w:val="top"/>
          </w:tcPr>
          <w:p>
            <w:pPr>
              <w:jc w:val="center"/>
            </w:pPr>
            <w:r>
              <w:rPr>
                <w:rFonts w:hint="eastAsia"/>
              </w:rPr>
              <w:t>套</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9</w:t>
            </w:r>
          </w:p>
        </w:tc>
        <w:tc>
          <w:tcPr>
            <w:tcW w:w="1550" w:type="dxa"/>
            <w:noWrap w:val="0"/>
            <w:vAlign w:val="top"/>
          </w:tcPr>
          <w:p>
            <w:pPr>
              <w:jc w:val="center"/>
            </w:pPr>
            <w:r>
              <w:rPr>
                <w:rFonts w:hint="eastAsia"/>
              </w:rPr>
              <w:t>软管</w:t>
            </w:r>
          </w:p>
        </w:tc>
        <w:tc>
          <w:tcPr>
            <w:tcW w:w="4287" w:type="dxa"/>
            <w:noWrap w:val="0"/>
            <w:vAlign w:val="top"/>
          </w:tcPr>
          <w:p>
            <w:pPr>
              <w:jc w:val="center"/>
            </w:pPr>
            <w:r>
              <w:rPr>
                <w:rFonts w:hint="eastAsia"/>
                <w:lang w:val="en-US" w:eastAsia="zh-CN"/>
              </w:rPr>
              <w:t>6</w:t>
            </w:r>
            <w:r>
              <w:rPr>
                <w:rFonts w:hint="eastAsia"/>
              </w:rPr>
              <w:t>0cm</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100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10</w:t>
            </w:r>
          </w:p>
        </w:tc>
        <w:tc>
          <w:tcPr>
            <w:tcW w:w="1550" w:type="dxa"/>
            <w:noWrap w:val="0"/>
            <w:vAlign w:val="top"/>
          </w:tcPr>
          <w:p>
            <w:pPr>
              <w:jc w:val="center"/>
            </w:pPr>
            <w:r>
              <w:rPr>
                <w:rFonts w:hint="eastAsia"/>
              </w:rPr>
              <w:t>生料带</w:t>
            </w:r>
          </w:p>
        </w:tc>
        <w:tc>
          <w:tcPr>
            <w:tcW w:w="4287" w:type="dxa"/>
            <w:noWrap w:val="0"/>
            <w:vAlign w:val="top"/>
          </w:tcPr>
          <w:p>
            <w:pPr>
              <w:jc w:val="center"/>
            </w:pPr>
            <w:r>
              <w:rPr>
                <w:rFonts w:hint="eastAsia"/>
              </w:rPr>
              <w:t>大卷</w:t>
            </w:r>
          </w:p>
        </w:tc>
        <w:tc>
          <w:tcPr>
            <w:tcW w:w="675" w:type="dxa"/>
            <w:noWrap w:val="0"/>
            <w:vAlign w:val="top"/>
          </w:tcPr>
          <w:p>
            <w:pPr>
              <w:jc w:val="center"/>
            </w:pPr>
            <w:r>
              <w:rPr>
                <w:rFonts w:hint="eastAsia"/>
              </w:rPr>
              <w:t>卷</w:t>
            </w:r>
          </w:p>
        </w:tc>
        <w:tc>
          <w:tcPr>
            <w:tcW w:w="775" w:type="dxa"/>
            <w:noWrap w:val="0"/>
            <w:vAlign w:val="top"/>
          </w:tcPr>
          <w:p>
            <w:pPr>
              <w:jc w:val="center"/>
            </w:pPr>
            <w:r>
              <w:rPr>
                <w:rFonts w:hint="eastAsia"/>
              </w:rPr>
              <w:t>300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70" w:type="dxa"/>
            <w:noWrap w:val="0"/>
            <w:vAlign w:val="top"/>
          </w:tcPr>
          <w:p>
            <w:pPr>
              <w:jc w:val="center"/>
            </w:pPr>
            <w:r>
              <w:rPr>
                <w:rFonts w:hint="eastAsia"/>
              </w:rPr>
              <w:t>11</w:t>
            </w:r>
          </w:p>
        </w:tc>
        <w:tc>
          <w:tcPr>
            <w:tcW w:w="1550" w:type="dxa"/>
            <w:noWrap w:val="0"/>
            <w:vAlign w:val="top"/>
          </w:tcPr>
          <w:p>
            <w:pPr>
              <w:jc w:val="center"/>
            </w:pPr>
            <w:r>
              <w:t>P</w:t>
            </w:r>
            <w:r>
              <w:rPr>
                <w:rFonts w:hint="eastAsia"/>
              </w:rPr>
              <w:t>pr直接</w:t>
            </w:r>
          </w:p>
        </w:tc>
        <w:tc>
          <w:tcPr>
            <w:tcW w:w="4287" w:type="dxa"/>
            <w:noWrap w:val="0"/>
            <w:vAlign w:val="top"/>
          </w:tcPr>
          <w:p>
            <w:pPr>
              <w:jc w:val="center"/>
            </w:pPr>
            <w:r>
              <w:rPr>
                <w:rFonts w:hint="eastAsia"/>
              </w:rPr>
              <w:t>20#</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12</w:t>
            </w:r>
          </w:p>
        </w:tc>
        <w:tc>
          <w:tcPr>
            <w:tcW w:w="1550" w:type="dxa"/>
            <w:noWrap w:val="0"/>
            <w:vAlign w:val="top"/>
          </w:tcPr>
          <w:p>
            <w:pPr>
              <w:jc w:val="center"/>
            </w:pPr>
            <w:r>
              <w:rPr>
                <w:rFonts w:hint="eastAsia"/>
              </w:rPr>
              <w:t>三通</w:t>
            </w:r>
          </w:p>
        </w:tc>
        <w:tc>
          <w:tcPr>
            <w:tcW w:w="4287" w:type="dxa"/>
            <w:noWrap w:val="0"/>
            <w:vAlign w:val="top"/>
          </w:tcPr>
          <w:p>
            <w:pPr>
              <w:jc w:val="center"/>
            </w:pPr>
            <w:r>
              <w:rPr>
                <w:rFonts w:hint="eastAsia"/>
                <w:lang w:val="en-US" w:eastAsia="zh-CN"/>
              </w:rPr>
              <w:t>20#</w:t>
            </w:r>
            <w:r>
              <w:rPr>
                <w:rFonts w:hint="eastAsia"/>
              </w:rPr>
              <w:t>铜</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13</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14</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15</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16</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0" w:type="dxa"/>
            <w:noWrap w:val="0"/>
            <w:vAlign w:val="top"/>
          </w:tcPr>
          <w:p>
            <w:pPr>
              <w:jc w:val="center"/>
            </w:pPr>
            <w:r>
              <w:rPr>
                <w:rFonts w:hint="eastAsia"/>
              </w:rPr>
              <w:t>17</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50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18</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50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0" w:type="dxa"/>
            <w:noWrap w:val="0"/>
            <w:vAlign w:val="top"/>
          </w:tcPr>
          <w:p>
            <w:pPr>
              <w:jc w:val="center"/>
            </w:pPr>
            <w:r>
              <w:rPr>
                <w:rFonts w:hint="eastAsia"/>
              </w:rPr>
              <w:t>19</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70" w:type="dxa"/>
            <w:noWrap w:val="0"/>
            <w:vAlign w:val="top"/>
          </w:tcPr>
          <w:p>
            <w:pPr>
              <w:jc w:val="center"/>
            </w:pPr>
            <w:r>
              <w:rPr>
                <w:rFonts w:hint="eastAsia"/>
              </w:rPr>
              <w:t>20</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21</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22</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20快接（国标）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0" w:type="dxa"/>
            <w:noWrap w:val="0"/>
            <w:vAlign w:val="top"/>
          </w:tcPr>
          <w:p>
            <w:pPr>
              <w:jc w:val="center"/>
            </w:pPr>
            <w:r>
              <w:rPr>
                <w:rFonts w:hint="eastAsia"/>
              </w:rPr>
              <w:t>23</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20快接闸阀(国标)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670" w:type="dxa"/>
            <w:noWrap w:val="0"/>
            <w:vAlign w:val="top"/>
          </w:tcPr>
          <w:p>
            <w:pPr>
              <w:jc w:val="center"/>
            </w:pPr>
            <w:r>
              <w:rPr>
                <w:rFonts w:hint="eastAsia"/>
              </w:rPr>
              <w:t>24</w:t>
            </w:r>
          </w:p>
        </w:tc>
        <w:tc>
          <w:tcPr>
            <w:tcW w:w="1550" w:type="dxa"/>
            <w:noWrap w:val="0"/>
            <w:vAlign w:val="top"/>
          </w:tcPr>
          <w:p>
            <w:pPr>
              <w:jc w:val="center"/>
            </w:pPr>
            <w:r>
              <w:rPr>
                <w:rFonts w:hint="eastAsia"/>
              </w:rPr>
              <w:t>水龙头</w:t>
            </w:r>
          </w:p>
        </w:tc>
        <w:tc>
          <w:tcPr>
            <w:tcW w:w="4287" w:type="dxa"/>
            <w:noWrap w:val="0"/>
            <w:vAlign w:val="top"/>
          </w:tcPr>
          <w:p>
            <w:pPr>
              <w:jc w:val="center"/>
            </w:pPr>
            <w:r>
              <w:rPr>
                <w:rFonts w:hint="eastAsia"/>
              </w:rPr>
              <w:t>加长铜</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100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0" w:type="dxa"/>
            <w:noWrap w:val="0"/>
            <w:vAlign w:val="top"/>
          </w:tcPr>
          <w:p>
            <w:pPr>
              <w:jc w:val="center"/>
            </w:pPr>
            <w:r>
              <w:rPr>
                <w:rFonts w:hint="eastAsia"/>
              </w:rPr>
              <w:t>25</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26</w:t>
            </w:r>
          </w:p>
        </w:tc>
        <w:tc>
          <w:tcPr>
            <w:tcW w:w="1550" w:type="dxa"/>
            <w:noWrap w:val="0"/>
            <w:vAlign w:val="top"/>
          </w:tcPr>
          <w:p>
            <w:pPr>
              <w:jc w:val="center"/>
            </w:pPr>
            <w:r>
              <w:rPr>
                <w:rFonts w:hint="eastAsia"/>
              </w:rPr>
              <w:t>台盆下水管</w:t>
            </w:r>
          </w:p>
        </w:tc>
        <w:tc>
          <w:tcPr>
            <w:tcW w:w="4287" w:type="dxa"/>
            <w:noWrap w:val="0"/>
            <w:vAlign w:val="top"/>
          </w:tcPr>
          <w:p>
            <w:pPr>
              <w:jc w:val="center"/>
            </w:pPr>
            <w:r>
              <w:rPr>
                <w:rFonts w:hint="eastAsia"/>
              </w:rPr>
              <w:t>加厚波纹管</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2</w:t>
            </w:r>
            <w:r>
              <w:rPr>
                <w:rFonts w:hint="eastAsia"/>
              </w:rPr>
              <w:t>00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27</w:t>
            </w:r>
          </w:p>
        </w:tc>
        <w:tc>
          <w:tcPr>
            <w:tcW w:w="1550" w:type="dxa"/>
            <w:noWrap w:val="0"/>
            <w:vAlign w:val="top"/>
          </w:tcPr>
          <w:p>
            <w:pPr>
              <w:jc w:val="center"/>
            </w:pPr>
            <w:r>
              <w:rPr>
                <w:rFonts w:hint="eastAsia"/>
              </w:rPr>
              <w:t>铁弯头</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28</w:t>
            </w:r>
          </w:p>
        </w:tc>
        <w:tc>
          <w:tcPr>
            <w:tcW w:w="1550" w:type="dxa"/>
            <w:noWrap w:val="0"/>
            <w:vAlign w:val="top"/>
          </w:tcPr>
          <w:p>
            <w:pPr>
              <w:jc w:val="center"/>
            </w:pPr>
            <w:r>
              <w:rPr>
                <w:rFonts w:hint="eastAsia"/>
              </w:rPr>
              <w:t>铁三通</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29</w:t>
            </w:r>
          </w:p>
        </w:tc>
        <w:tc>
          <w:tcPr>
            <w:tcW w:w="1550" w:type="dxa"/>
            <w:noWrap w:val="0"/>
            <w:vAlign w:val="top"/>
          </w:tcPr>
          <w:p>
            <w:pPr>
              <w:jc w:val="center"/>
            </w:pPr>
            <w:r>
              <w:rPr>
                <w:rFonts w:hint="eastAsia"/>
              </w:rPr>
              <w:t>铁外丝</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30</w:t>
            </w:r>
          </w:p>
        </w:tc>
        <w:tc>
          <w:tcPr>
            <w:tcW w:w="1550" w:type="dxa"/>
            <w:noWrap w:val="0"/>
            <w:vAlign w:val="top"/>
          </w:tcPr>
          <w:p>
            <w:pPr>
              <w:jc w:val="center"/>
              <w:rPr>
                <w:rFonts w:hint="eastAsia" w:eastAsia="宋体"/>
                <w:lang w:eastAsia="zh-CN"/>
              </w:rPr>
            </w:pPr>
            <w:r>
              <w:rPr>
                <w:rFonts w:hint="eastAsia"/>
                <w:lang w:eastAsia="zh-CN"/>
              </w:rPr>
              <w:t>台上盆</w:t>
            </w:r>
          </w:p>
        </w:tc>
        <w:tc>
          <w:tcPr>
            <w:tcW w:w="4287" w:type="dxa"/>
            <w:noWrap w:val="0"/>
            <w:vAlign w:val="top"/>
          </w:tcPr>
          <w:p>
            <w:pPr>
              <w:jc w:val="center"/>
              <w:rPr>
                <w:rFonts w:hint="default" w:eastAsia="宋体"/>
                <w:lang w:val="en-US" w:eastAsia="zh-CN"/>
              </w:rPr>
            </w:pPr>
            <w:r>
              <w:rPr>
                <w:rFonts w:hint="eastAsia"/>
                <w:lang w:val="en-US" w:eastAsia="zh-CN"/>
              </w:rPr>
              <w:t>52*46</w:t>
            </w:r>
          </w:p>
        </w:tc>
        <w:tc>
          <w:tcPr>
            <w:tcW w:w="675" w:type="dxa"/>
            <w:noWrap w:val="0"/>
            <w:vAlign w:val="top"/>
          </w:tcPr>
          <w:p>
            <w:pPr>
              <w:jc w:val="center"/>
              <w:rPr>
                <w:rFonts w:hint="eastAsia" w:eastAsia="宋体"/>
                <w:lang w:eastAsia="zh-CN"/>
              </w:rPr>
            </w:pPr>
            <w:r>
              <w:rPr>
                <w:rFonts w:hint="eastAsia"/>
                <w:lang w:eastAsia="zh-CN"/>
              </w:rPr>
              <w:t>个</w:t>
            </w:r>
          </w:p>
        </w:tc>
        <w:tc>
          <w:tcPr>
            <w:tcW w:w="775" w:type="dxa"/>
            <w:noWrap w:val="0"/>
            <w:vAlign w:val="top"/>
          </w:tcPr>
          <w:p>
            <w:pPr>
              <w:jc w:val="center"/>
              <w:rPr>
                <w:rFonts w:hint="default" w:eastAsia="宋体"/>
                <w:lang w:val="en-US" w:eastAsia="zh-CN"/>
              </w:rPr>
            </w:pPr>
            <w:r>
              <w:rPr>
                <w:rFonts w:hint="eastAsia"/>
                <w:lang w:val="en-US" w:eastAsia="zh-CN"/>
              </w:rPr>
              <w:t>20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lang w:val="en-US" w:eastAsia="zh-CN"/>
              </w:rPr>
            </w:pPr>
            <w:r>
              <w:rPr>
                <w:rFonts w:hint="eastAsia"/>
                <w:lang w:val="en-US" w:eastAsia="zh-CN"/>
              </w:rPr>
              <w:t>31</w:t>
            </w:r>
          </w:p>
        </w:tc>
        <w:tc>
          <w:tcPr>
            <w:tcW w:w="1550" w:type="dxa"/>
            <w:noWrap w:val="0"/>
            <w:vAlign w:val="top"/>
          </w:tcPr>
          <w:p>
            <w:pPr>
              <w:jc w:val="center"/>
              <w:rPr>
                <w:rFonts w:hint="default"/>
                <w:lang w:val="en-US" w:eastAsia="zh-CN"/>
              </w:rPr>
            </w:pPr>
            <w:r>
              <w:rPr>
                <w:rFonts w:hint="eastAsia"/>
                <w:lang w:val="en-US" w:eastAsia="zh-CN"/>
              </w:rPr>
              <w:t>PVC</w:t>
            </w:r>
          </w:p>
        </w:tc>
        <w:tc>
          <w:tcPr>
            <w:tcW w:w="4287" w:type="dxa"/>
            <w:noWrap w:val="0"/>
            <w:vAlign w:val="top"/>
          </w:tcPr>
          <w:p>
            <w:pPr>
              <w:jc w:val="center"/>
              <w:rPr>
                <w:rFonts w:hint="default"/>
                <w:lang w:val="en-US" w:eastAsia="zh-CN"/>
              </w:rPr>
            </w:pPr>
            <w:r>
              <w:rPr>
                <w:rFonts w:hint="eastAsia"/>
                <w:lang w:val="en-US" w:eastAsia="zh-CN"/>
              </w:rPr>
              <w:t>160伸缩节</w:t>
            </w:r>
          </w:p>
        </w:tc>
        <w:tc>
          <w:tcPr>
            <w:tcW w:w="675" w:type="dxa"/>
            <w:noWrap w:val="0"/>
            <w:vAlign w:val="top"/>
          </w:tcPr>
          <w:p>
            <w:pPr>
              <w:jc w:val="center"/>
              <w:rPr>
                <w:rFonts w:hint="eastAsia"/>
                <w:lang w:eastAsia="zh-CN"/>
              </w:rPr>
            </w:pPr>
            <w:r>
              <w:rPr>
                <w:rFonts w:hint="eastAsia"/>
                <w:lang w:eastAsia="zh-CN"/>
              </w:rPr>
              <w:t>个</w:t>
            </w:r>
          </w:p>
        </w:tc>
        <w:tc>
          <w:tcPr>
            <w:tcW w:w="775" w:type="dxa"/>
            <w:noWrap w:val="0"/>
            <w:vAlign w:val="top"/>
          </w:tcPr>
          <w:p>
            <w:pPr>
              <w:jc w:val="center"/>
              <w:rPr>
                <w:rFonts w:hint="default"/>
                <w:lang w:val="en-US" w:eastAsia="zh-CN"/>
              </w:rPr>
            </w:pPr>
            <w:r>
              <w:rPr>
                <w:rFonts w:hint="eastAsia"/>
                <w:lang w:val="en-US" w:eastAsia="zh-CN"/>
              </w:rPr>
              <w:t>10</w:t>
            </w:r>
          </w:p>
        </w:tc>
        <w:tc>
          <w:tcPr>
            <w:tcW w:w="738" w:type="dxa"/>
            <w:noWrap w:val="0"/>
            <w:vAlign w:val="top"/>
          </w:tcPr>
          <w:p>
            <w:pPr>
              <w:jc w:val="center"/>
              <w:rPr>
                <w:rFonts w:hint="default"/>
                <w:lang w:val="en-US" w:eastAsia="zh-CN"/>
              </w:rPr>
            </w:pPr>
          </w:p>
        </w:tc>
        <w:tc>
          <w:tcPr>
            <w:tcW w:w="819" w:type="dxa"/>
            <w:noWrap w:val="0"/>
            <w:vAlign w:val="top"/>
          </w:tcPr>
          <w:p>
            <w:pPr>
              <w:jc w:val="center"/>
              <w:rPr>
                <w:rFonts w:hint="default"/>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lang w:val="en-US" w:eastAsia="zh-CN"/>
              </w:rPr>
            </w:pPr>
            <w:r>
              <w:rPr>
                <w:rFonts w:hint="eastAsia"/>
                <w:lang w:val="en-US" w:eastAsia="zh-CN"/>
              </w:rPr>
              <w:t>32</w:t>
            </w:r>
          </w:p>
        </w:tc>
        <w:tc>
          <w:tcPr>
            <w:tcW w:w="1550" w:type="dxa"/>
            <w:noWrap w:val="0"/>
            <w:vAlign w:val="top"/>
          </w:tcPr>
          <w:p>
            <w:pPr>
              <w:jc w:val="center"/>
              <w:rPr>
                <w:rFonts w:hint="default"/>
                <w:lang w:val="en-US" w:eastAsia="zh-CN"/>
              </w:rPr>
            </w:pPr>
            <w:r>
              <w:rPr>
                <w:rFonts w:hint="eastAsia"/>
                <w:lang w:val="en-US" w:eastAsia="zh-CN"/>
              </w:rPr>
              <w:t>PVC</w:t>
            </w:r>
          </w:p>
        </w:tc>
        <w:tc>
          <w:tcPr>
            <w:tcW w:w="4287" w:type="dxa"/>
            <w:noWrap w:val="0"/>
            <w:vAlign w:val="top"/>
          </w:tcPr>
          <w:p>
            <w:pPr>
              <w:jc w:val="center"/>
              <w:rPr>
                <w:rFonts w:hint="default"/>
                <w:lang w:val="en-US" w:eastAsia="zh-CN"/>
              </w:rPr>
            </w:pPr>
            <w:r>
              <w:rPr>
                <w:rFonts w:hint="eastAsia"/>
                <w:lang w:val="en-US" w:eastAsia="zh-CN"/>
              </w:rPr>
              <w:t>160直通</w:t>
            </w:r>
          </w:p>
        </w:tc>
        <w:tc>
          <w:tcPr>
            <w:tcW w:w="675" w:type="dxa"/>
            <w:noWrap w:val="0"/>
            <w:vAlign w:val="top"/>
          </w:tcPr>
          <w:p>
            <w:pPr>
              <w:jc w:val="center"/>
              <w:rPr>
                <w:rFonts w:hint="eastAsia"/>
                <w:lang w:eastAsia="zh-CN"/>
              </w:rPr>
            </w:pPr>
            <w:r>
              <w:rPr>
                <w:rFonts w:hint="eastAsia"/>
                <w:lang w:eastAsia="zh-CN"/>
              </w:rPr>
              <w:t>个</w:t>
            </w:r>
          </w:p>
        </w:tc>
        <w:tc>
          <w:tcPr>
            <w:tcW w:w="775" w:type="dxa"/>
            <w:noWrap w:val="0"/>
            <w:vAlign w:val="top"/>
          </w:tcPr>
          <w:p>
            <w:pPr>
              <w:jc w:val="center"/>
              <w:rPr>
                <w:rFonts w:hint="default"/>
                <w:lang w:val="en-US" w:eastAsia="zh-CN"/>
              </w:rPr>
            </w:pPr>
            <w:r>
              <w:rPr>
                <w:rFonts w:hint="eastAsia"/>
                <w:lang w:val="en-US" w:eastAsia="zh-CN"/>
              </w:rPr>
              <w:t>10</w:t>
            </w:r>
          </w:p>
        </w:tc>
        <w:tc>
          <w:tcPr>
            <w:tcW w:w="738" w:type="dxa"/>
            <w:noWrap w:val="0"/>
            <w:vAlign w:val="top"/>
          </w:tcPr>
          <w:p>
            <w:pPr>
              <w:jc w:val="center"/>
              <w:rPr>
                <w:rFonts w:hint="default"/>
                <w:lang w:val="en-US" w:eastAsia="zh-CN"/>
              </w:rPr>
            </w:pPr>
          </w:p>
        </w:tc>
        <w:tc>
          <w:tcPr>
            <w:tcW w:w="819" w:type="dxa"/>
            <w:noWrap w:val="0"/>
            <w:vAlign w:val="top"/>
          </w:tcPr>
          <w:p>
            <w:pPr>
              <w:jc w:val="center"/>
              <w:rPr>
                <w:rFonts w:hint="default"/>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33</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110伸缩节</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34</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50S湾</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35</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50P湾</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36</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50直通直接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37</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110直通直接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38</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160管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39</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25水管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40</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41</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42</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43</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44</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45</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46</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20x15外丝直接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47</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20x15活接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48</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50阀门</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49</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63阀门</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52</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53</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54</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55</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25x20内丝直接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56</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57</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58</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59</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62</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63</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64</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65</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66</w:t>
            </w:r>
          </w:p>
        </w:tc>
        <w:tc>
          <w:tcPr>
            <w:tcW w:w="1550" w:type="dxa"/>
            <w:noWrap w:val="0"/>
            <w:vAlign w:val="top"/>
          </w:tcPr>
          <w:p>
            <w:pPr>
              <w:jc w:val="center"/>
              <w:rPr>
                <w:rFonts w:hint="default"/>
                <w:b/>
                <w:bCs/>
                <w:lang w:val="en-US" w:eastAsia="zh-CN"/>
              </w:rPr>
            </w:pPr>
            <w:r>
              <w:rPr>
                <w:rFonts w:hint="eastAsia"/>
                <w:b/>
                <w:bCs/>
                <w:lang w:val="en-US" w:eastAsia="zh-CN"/>
              </w:rPr>
              <w:t>取水器</w:t>
            </w:r>
          </w:p>
        </w:tc>
        <w:tc>
          <w:tcPr>
            <w:tcW w:w="4287" w:type="dxa"/>
            <w:noWrap w:val="0"/>
            <w:vAlign w:val="top"/>
          </w:tcPr>
          <w:p>
            <w:pPr>
              <w:jc w:val="center"/>
              <w:rPr>
                <w:rFonts w:hint="default"/>
                <w:b/>
                <w:bCs/>
                <w:lang w:val="en-US" w:eastAsia="zh-CN"/>
              </w:rPr>
            </w:pPr>
            <w:r>
              <w:rPr>
                <w:rFonts w:hint="eastAsia"/>
                <w:b/>
                <w:bCs/>
                <w:lang w:val="en-US" w:eastAsia="zh-CN"/>
              </w:rPr>
              <w:t>6分</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67</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68</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69</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72</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pvc大瓶胶水</w:t>
            </w:r>
          </w:p>
        </w:tc>
        <w:tc>
          <w:tcPr>
            <w:tcW w:w="675" w:type="dxa"/>
            <w:noWrap w:val="0"/>
            <w:vAlign w:val="top"/>
          </w:tcPr>
          <w:p>
            <w:pPr>
              <w:jc w:val="center"/>
              <w:rPr>
                <w:rFonts w:hint="default"/>
                <w:b/>
                <w:bCs/>
                <w:lang w:val="en-US" w:eastAsia="zh-CN"/>
              </w:rPr>
            </w:pPr>
            <w:r>
              <w:rPr>
                <w:rFonts w:hint="eastAsia"/>
                <w:b/>
                <w:bCs/>
                <w:lang w:val="en-US" w:eastAsia="zh-CN"/>
              </w:rPr>
              <w:t>瓶</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73</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160管卡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74</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75</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76</w:t>
            </w:r>
          </w:p>
        </w:tc>
        <w:tc>
          <w:tcPr>
            <w:tcW w:w="1550" w:type="dxa"/>
            <w:noWrap w:val="0"/>
            <w:vAlign w:val="top"/>
          </w:tcPr>
          <w:p>
            <w:pPr>
              <w:jc w:val="center"/>
              <w:rPr>
                <w:rFonts w:hint="default"/>
                <w:b/>
                <w:bCs/>
                <w:lang w:val="en-US" w:eastAsia="zh-CN"/>
              </w:rPr>
            </w:pPr>
            <w:r>
              <w:rPr>
                <w:rFonts w:hint="eastAsia"/>
                <w:b/>
                <w:bCs/>
                <w:lang w:val="en-US" w:eastAsia="zh-CN"/>
              </w:rPr>
              <w:t>蹲坑</w:t>
            </w:r>
          </w:p>
        </w:tc>
        <w:tc>
          <w:tcPr>
            <w:tcW w:w="4287" w:type="dxa"/>
            <w:noWrap w:val="0"/>
            <w:vAlign w:val="top"/>
          </w:tcPr>
          <w:p>
            <w:pPr>
              <w:jc w:val="center"/>
              <w:rPr>
                <w:rFonts w:hint="default"/>
                <w:b/>
                <w:bCs/>
                <w:lang w:val="en-US" w:eastAsia="zh-CN"/>
              </w:rPr>
            </w:pPr>
            <w:r>
              <w:rPr>
                <w:rFonts w:hint="eastAsia"/>
                <w:b/>
                <w:bCs/>
                <w:lang w:val="en-US" w:eastAsia="zh-CN"/>
              </w:rPr>
              <w:t>陶瓷</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95" w:type="dxa"/>
            <w:gridSpan w:val="6"/>
            <w:noWrap w:val="0"/>
            <w:vAlign w:val="top"/>
          </w:tcPr>
          <w:p>
            <w:pPr>
              <w:jc w:val="center"/>
              <w:rPr>
                <w:rFonts w:hint="eastAsia"/>
                <w:b/>
                <w:bCs/>
                <w:lang w:val="en-US" w:eastAsia="zh-CN"/>
              </w:rPr>
            </w:pPr>
            <w:r>
              <w:rPr>
                <w:rFonts w:hint="eastAsia"/>
                <w:b/>
                <w:bCs/>
                <w:lang w:eastAsia="zh-CN"/>
              </w:rPr>
              <w:t>合计</w:t>
            </w:r>
          </w:p>
        </w:tc>
        <w:tc>
          <w:tcPr>
            <w:tcW w:w="2006" w:type="dxa"/>
            <w:gridSpan w:val="2"/>
            <w:noWrap w:val="0"/>
            <w:vAlign w:val="top"/>
          </w:tcPr>
          <w:p>
            <w:pPr>
              <w:jc w:val="center"/>
              <w:rPr>
                <w:rFonts w:hint="default" w:eastAsia="宋体"/>
                <w:lang w:val="en-US" w:eastAsia="zh-CN"/>
              </w:rPr>
            </w:pPr>
          </w:p>
        </w:tc>
      </w:tr>
    </w:tbl>
    <w:p>
      <w:pPr>
        <w:pStyle w:val="3"/>
        <w:numPr>
          <w:ilvl w:val="0"/>
          <w:numId w:val="0"/>
        </w:numPr>
        <w:tabs>
          <w:tab w:val="clear" w:pos="1440"/>
          <w:tab w:val="clear" w:pos="5670"/>
        </w:tabs>
        <w:spacing w:beforeLines="0" w:afterLines="0"/>
        <w:jc w:val="both"/>
        <w:rPr>
          <w:rFonts w:hint="eastAsia" w:ascii="Arial" w:hAnsi="Arial"/>
          <w:color w:val="auto"/>
          <w:kern w:val="2"/>
          <w:sz w:val="32"/>
          <w:szCs w:val="32"/>
          <w:highlight w:val="none"/>
          <w:lang w:val="en-US" w:eastAsia="zh-CN"/>
        </w:rPr>
      </w:pPr>
    </w:p>
    <w:p>
      <w:pPr>
        <w:rPr>
          <w:rFonts w:hint="eastAsia"/>
          <w:lang w:val="en-US" w:eastAsia="zh-CN"/>
        </w:rPr>
      </w:pPr>
    </w:p>
    <w:p>
      <w:pPr>
        <w:pStyle w:val="3"/>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r>
        <w:rPr>
          <w:rFonts w:hint="eastAsia" w:ascii="Arial" w:hAnsi="Arial"/>
          <w:color w:val="auto"/>
          <w:kern w:val="2"/>
          <w:sz w:val="32"/>
          <w:szCs w:val="32"/>
          <w:highlight w:val="none"/>
          <w:lang w:val="en-US" w:eastAsia="zh-CN"/>
        </w:rPr>
        <w:t>第四章 评</w:t>
      </w:r>
      <w:r>
        <w:rPr>
          <w:rFonts w:hint="eastAsia" w:ascii="Arial" w:hAnsi="Arial"/>
          <w:strike w:val="0"/>
          <w:dstrike w:val="0"/>
          <w:color w:val="auto"/>
          <w:kern w:val="2"/>
          <w:sz w:val="32"/>
          <w:szCs w:val="32"/>
          <w:highlight w:val="none"/>
          <w:lang w:val="en-US" w:eastAsia="zh-CN"/>
        </w:rPr>
        <w:t>审方</w:t>
      </w:r>
      <w:r>
        <w:rPr>
          <w:rFonts w:hint="eastAsia" w:ascii="Arial" w:hAnsi="Arial"/>
          <w:color w:val="auto"/>
          <w:kern w:val="2"/>
          <w:sz w:val="32"/>
          <w:szCs w:val="32"/>
          <w:highlight w:val="none"/>
          <w:lang w:val="en-US" w:eastAsia="zh-CN"/>
        </w:rPr>
        <w:t>法与标准</w:t>
      </w:r>
      <w:bookmarkEnd w:id="66"/>
    </w:p>
    <w:p>
      <w:pPr>
        <w:numPr>
          <w:ilvl w:val="0"/>
          <w:numId w:val="0"/>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 xml:space="preserve">一、总则 </w:t>
      </w:r>
    </w:p>
    <w:p>
      <w:pPr>
        <w:widowControl/>
        <w:numPr>
          <w:ilvl w:val="0"/>
          <w:numId w:val="0"/>
        </w:num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本项目将按照竞争性谈判文件第二章 竞争性谈判须知的相关要求及本章的规定评</w:t>
      </w:r>
      <w:r>
        <w:rPr>
          <w:rFonts w:hint="eastAsia"/>
          <w:strike w:val="0"/>
          <w:dstrike w:val="0"/>
          <w:color w:val="auto"/>
          <w:highlight w:val="none"/>
          <w:lang w:val="en-US" w:eastAsia="zh-CN"/>
        </w:rPr>
        <w:t>审</w:t>
      </w:r>
      <w:r>
        <w:rPr>
          <w:rFonts w:hint="eastAsia"/>
          <w:color w:val="auto"/>
          <w:highlight w:val="none"/>
          <w:lang w:val="en-US" w:eastAsia="zh-CN"/>
        </w:rPr>
        <w:t>。</w:t>
      </w:r>
    </w:p>
    <w:p>
      <w:pPr>
        <w:numPr>
          <w:ilvl w:val="0"/>
          <w:numId w:val="7"/>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评审方法：</w:t>
      </w:r>
    </w:p>
    <w:p>
      <w:pPr>
        <w:numPr>
          <w:ilvl w:val="0"/>
          <w:numId w:val="0"/>
        </w:numPr>
        <w:spacing w:line="360" w:lineRule="auto"/>
        <w:ind w:firstLine="420" w:firstLineChars="200"/>
        <w:rPr>
          <w:rFonts w:hint="default"/>
          <w:color w:val="auto"/>
          <w:highlight w:val="none"/>
          <w:lang w:val="en-US"/>
        </w:rPr>
      </w:pPr>
      <w:r>
        <w:rPr>
          <w:rFonts w:hint="eastAsia"/>
          <w:color w:val="auto"/>
          <w:highlight w:val="none"/>
          <w:lang w:val="en-US" w:eastAsia="zh-CN"/>
        </w:rPr>
        <w:t>1、初审。谈判</w:t>
      </w:r>
      <w:r>
        <w:rPr>
          <w:rFonts w:hint="default"/>
          <w:color w:val="auto"/>
          <w:highlight w:val="none"/>
          <w:lang w:val="en-US" w:eastAsia="zh-CN"/>
        </w:rPr>
        <w:t>小组对供应商的响应文件进行初审，以确定其是否满足竞争性谈判文件的实质性要求。初审表如下</w:t>
      </w:r>
      <w:r>
        <w:rPr>
          <w:rFonts w:hint="eastAsia"/>
          <w:color w:val="auto"/>
          <w:highlight w:val="none"/>
          <w:lang w:val="en-US" w:eastAsia="zh-CN"/>
        </w:rPr>
        <w:t>：</w:t>
      </w:r>
    </w:p>
    <w:tbl>
      <w:tblPr>
        <w:tblStyle w:val="6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57"/>
        <w:gridCol w:w="2358"/>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6" w:type="dxa"/>
            <w:gridSpan w:val="4"/>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Cs w:val="21"/>
                <w:highlight w:val="none"/>
                <w:lang w:eastAsia="zh-CN"/>
              </w:rPr>
            </w:pPr>
            <w:r>
              <w:rPr>
                <w:rFonts w:hint="eastAsia" w:ascii="宋体" w:hAnsi="宋体" w:cs="宋体"/>
                <w:b/>
                <w:color w:val="auto"/>
                <w:szCs w:val="21"/>
                <w:highlight w:val="none"/>
                <w:lang w:val="en-US" w:eastAsia="zh-CN"/>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757" w:type="dxa"/>
            <w:tcBorders>
              <w:bottom w:val="single" w:color="auto" w:sz="4" w:space="0"/>
            </w:tcBorders>
            <w:vAlign w:val="center"/>
          </w:tcPr>
          <w:p>
            <w:pPr>
              <w:pStyle w:val="417"/>
              <w:pBdr>
                <w:bottom w:val="none" w:color="auto" w:sz="0" w:space="0"/>
              </w:pBdr>
              <w:tabs>
                <w:tab w:val="clear" w:pos="4153"/>
                <w:tab w:val="clear" w:pos="8306"/>
              </w:tabs>
              <w:snapToGrid w:val="0"/>
              <w:spacing w:line="360" w:lineRule="auto"/>
              <w:ind w:right="-10"/>
              <w:jc w:val="center"/>
              <w:textAlignment w:val="auto"/>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评审指标</w:t>
            </w:r>
          </w:p>
        </w:tc>
        <w:tc>
          <w:tcPr>
            <w:tcW w:w="235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评审标准</w:t>
            </w:r>
          </w:p>
        </w:tc>
        <w:tc>
          <w:tcPr>
            <w:tcW w:w="447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restar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提供有效的</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证书）和税务登记证的扫描件，应完整的体现出营业执照（或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）和税务登记证的全部内容。已办理“三证合一”登记的，</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）扫描件即可。联合体</w:t>
            </w: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税务登记证</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continue"/>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不良信用记</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录查询</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响应人不得存在</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 xml:space="preserve">须知正文第 </w:t>
            </w:r>
            <w:r>
              <w:rPr>
                <w:rFonts w:hint="eastAsia" w:ascii="宋体" w:hAnsi="宋体" w:cs="宋体"/>
                <w:color w:val="auto"/>
                <w:sz w:val="21"/>
                <w:szCs w:val="21"/>
                <w:highlight w:val="none"/>
                <w:lang w:val="en-US" w:eastAsia="zh-CN"/>
              </w:rPr>
              <w:t>21.3.1.1</w:t>
            </w:r>
            <w:r>
              <w:rPr>
                <w:rFonts w:hint="eastAsia" w:ascii="宋体" w:hAnsi="宋体" w:eastAsia="宋体" w:cs="宋体"/>
                <w:color w:val="auto"/>
                <w:sz w:val="21"/>
                <w:szCs w:val="21"/>
                <w:highlight w:val="none"/>
                <w:lang w:val="en-US" w:eastAsia="zh-CN"/>
              </w:rPr>
              <w:t>条中的不良信用记录情形</w:t>
            </w:r>
          </w:p>
        </w:tc>
        <w:tc>
          <w:tcPr>
            <w:tcW w:w="447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须知正文第</w:t>
            </w:r>
            <w:r>
              <w:rPr>
                <w:rFonts w:hint="eastAsia" w:ascii="宋体" w:hAnsi="宋体" w:cs="宋体"/>
                <w:color w:val="auto"/>
                <w:sz w:val="21"/>
                <w:szCs w:val="21"/>
                <w:highlight w:val="none"/>
                <w:lang w:val="en-US" w:eastAsia="zh-CN"/>
              </w:rPr>
              <w:t>21.3.1</w:t>
            </w:r>
            <w:r>
              <w:rPr>
                <w:rFonts w:hint="eastAsia" w:ascii="宋体" w:hAnsi="宋体" w:eastAsia="宋体" w:cs="宋体"/>
                <w:color w:val="auto"/>
                <w:sz w:val="21"/>
                <w:szCs w:val="21"/>
                <w:highlight w:val="none"/>
                <w:lang w:val="en-US" w:eastAsia="zh-CN"/>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声明函</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格式、填写要求符合竞争性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规定并加盖响应人签章</w:t>
            </w:r>
          </w:p>
        </w:tc>
        <w:tc>
          <w:tcPr>
            <w:tcW w:w="4478" w:type="dxa"/>
            <w:tcBorders>
              <w:bottom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详见第六章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cs="宋体"/>
                <w:color w:val="auto"/>
                <w:sz w:val="21"/>
                <w:szCs w:val="21"/>
                <w:highlight w:val="no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本项目不专门面向中小企业无需提供</w:t>
            </w:r>
            <w:r>
              <w:rPr>
                <w:rFonts w:hint="eastAsia" w:ascii="宋体" w:hAnsi="宋体" w:cs="宋体"/>
                <w:color w:val="auto"/>
                <w:sz w:val="21"/>
                <w:szCs w:val="21"/>
                <w:highlight w:val="none"/>
                <w:lang w:eastAsia="zh-CN"/>
              </w:rPr>
              <w:t>）</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资格中落实政府采购政策需满足的资格要求</w:t>
            </w:r>
          </w:p>
        </w:tc>
        <w:tc>
          <w:tcPr>
            <w:tcW w:w="4478"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详见第六章响应文件格式。</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残疾人福利性单位须提供残疾人福利性单位声明函，监狱企业须提供省级以上监狱管理局、戒毒管理局（含新疆生产建设兵团）出具的属</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于监狱企业的证明文件扫描件。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申请人（供应商）资格</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符合申请人（供应商）资格要求中本项目的特定资格要求</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757" w:type="dxa"/>
            <w:vAlign w:val="center"/>
          </w:tcPr>
          <w:p>
            <w:pPr>
              <w:spacing w:after="50"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响应函</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授权书</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757" w:type="dxa"/>
            <w:vAlign w:val="center"/>
          </w:tcPr>
          <w:p>
            <w:pPr>
              <w:spacing w:after="50"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样品审查</w:t>
            </w:r>
          </w:p>
        </w:tc>
        <w:tc>
          <w:tcPr>
            <w:tcW w:w="2358" w:type="dxa"/>
            <w:vAlign w:val="center"/>
          </w:tcPr>
          <w:p>
            <w:pPr>
              <w:adjustRightInd w:val="0"/>
              <w:snapToGrid w:val="0"/>
              <w:spacing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依照样品审查评审表审查</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报价</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供应商须知正文第</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条要求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757"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商务</w:t>
            </w:r>
            <w:r>
              <w:rPr>
                <w:rFonts w:hint="eastAsia" w:ascii="宋体" w:hAnsi="宋体" w:cs="宋体"/>
                <w:color w:val="auto"/>
                <w:kern w:val="0"/>
                <w:sz w:val="21"/>
                <w:szCs w:val="21"/>
                <w:highlight w:val="none"/>
                <w:lang w:val="en-US" w:eastAsia="zh-CN" w:bidi="ar"/>
              </w:rPr>
              <w:t>要求</w:t>
            </w:r>
            <w:r>
              <w:rPr>
                <w:rFonts w:hint="eastAsia" w:ascii="宋体" w:hAnsi="宋体" w:eastAsia="宋体" w:cs="宋体"/>
                <w:color w:val="auto"/>
                <w:kern w:val="0"/>
                <w:sz w:val="21"/>
                <w:szCs w:val="21"/>
                <w:highlight w:val="none"/>
                <w:lang w:val="en-US" w:eastAsia="zh-CN" w:bidi="ar"/>
              </w:rPr>
              <w:t>响应情况</w:t>
            </w:r>
          </w:p>
        </w:tc>
        <w:tc>
          <w:tcPr>
            <w:tcW w:w="2358" w:type="dxa"/>
            <w:vAlign w:val="center"/>
          </w:tcPr>
          <w:p>
            <w:pPr>
              <w:spacing w:after="50" w:line="360" w:lineRule="auto"/>
              <w:ind w:right="-10" w:right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符合</w:t>
            </w:r>
            <w:r>
              <w:rPr>
                <w:rFonts w:hint="eastAsia" w:ascii="宋体" w:hAnsi="宋体" w:cs="宋体"/>
                <w:color w:val="auto"/>
                <w:kern w:val="0"/>
                <w:sz w:val="21"/>
                <w:szCs w:val="21"/>
                <w:highlight w:val="none"/>
                <w:lang w:val="en-US" w:eastAsia="zh-CN" w:bidi="ar"/>
              </w:rPr>
              <w:t>竞争性</w:t>
            </w:r>
            <w:r>
              <w:rPr>
                <w:rFonts w:hint="eastAsia" w:ascii="宋体" w:hAnsi="宋体" w:eastAsia="宋体" w:cs="宋体"/>
                <w:color w:val="auto"/>
                <w:kern w:val="0"/>
                <w:sz w:val="21"/>
                <w:szCs w:val="21"/>
                <w:highlight w:val="none"/>
                <w:lang w:val="en-US" w:eastAsia="zh-CN" w:bidi="ar"/>
              </w:rPr>
              <w:t>谈判文件采购需求中付款方式、服务期限、服务地点</w:t>
            </w:r>
            <w:r>
              <w:rPr>
                <w:rFonts w:hint="eastAsia" w:ascii="宋体" w:hAnsi="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val="en-US" w:eastAsia="zh-CN" w:bidi="ar"/>
              </w:rPr>
              <w:t>要求</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服务需求响应情况</w:t>
            </w:r>
          </w:p>
        </w:tc>
        <w:tc>
          <w:tcPr>
            <w:tcW w:w="2358" w:type="dxa"/>
            <w:vAlign w:val="center"/>
          </w:tcPr>
          <w:p>
            <w:pPr>
              <w:spacing w:after="50" w:line="360" w:lineRule="auto"/>
              <w:ind w:right="-10" w:right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符合或优于采购需求要求</w:t>
            </w:r>
          </w:p>
        </w:tc>
        <w:tc>
          <w:tcPr>
            <w:tcW w:w="4478" w:type="dxa"/>
            <w:vAlign w:val="center"/>
          </w:tcPr>
          <w:p>
            <w:pPr>
              <w:spacing w:after="50" w:line="360" w:lineRule="auto"/>
              <w:ind w:right="-1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响应文件格式</w:t>
            </w:r>
          </w:p>
        </w:tc>
        <w:tc>
          <w:tcPr>
            <w:tcW w:w="235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color w:val="auto"/>
                <w:szCs w:val="21"/>
                <w:highlight w:val="none"/>
                <w:lang w:val="en-US" w:eastAsia="zh-CN"/>
              </w:rPr>
              <w:t>提供的响应文件格式及要求编写且加盖供应商签章。</w:t>
            </w:r>
          </w:p>
        </w:tc>
        <w:tc>
          <w:tcPr>
            <w:tcW w:w="447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其他要求</w:t>
            </w:r>
          </w:p>
        </w:tc>
        <w:tc>
          <w:tcPr>
            <w:tcW w:w="2358" w:type="dxa"/>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符合法律、行政法规</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Borders>
              <w:bottom w:val="single" w:color="auto" w:sz="4" w:space="0"/>
            </w:tcBorders>
            <w:vAlign w:val="center"/>
          </w:tcPr>
          <w:p>
            <w:pPr>
              <w:widowControl/>
              <w:spacing w:line="500" w:lineRule="exact"/>
              <w:jc w:val="left"/>
              <w:rPr>
                <w:rFonts w:hint="eastAsia"/>
                <w:color w:val="auto"/>
                <w:highlight w:val="none"/>
              </w:rPr>
            </w:pPr>
            <w:r>
              <w:rPr>
                <w:rFonts w:hint="eastAsia"/>
                <w:color w:val="auto"/>
                <w:highlight w:val="none"/>
                <w:lang w:val="en-US" w:eastAsia="zh-CN"/>
              </w:rPr>
              <w:t>初审指标通过标准：供应商必须通过初审表中的全部评审指标。</w:t>
            </w:r>
          </w:p>
          <w:p>
            <w:pPr>
              <w:widowControl/>
              <w:spacing w:line="500" w:lineRule="exact"/>
              <w:jc w:val="left"/>
              <w:rPr>
                <w:rFonts w:hint="eastAsia"/>
                <w:color w:val="auto"/>
                <w:highlight w:val="none"/>
              </w:rPr>
            </w:pPr>
            <w:r>
              <w:rPr>
                <w:rFonts w:hint="eastAsia"/>
                <w:color w:val="auto"/>
                <w:highlight w:val="none"/>
              </w:rPr>
              <w:t>注：</w:t>
            </w:r>
            <w:r>
              <w:rPr>
                <w:rFonts w:hint="eastAsia"/>
                <w:color w:val="auto"/>
                <w:highlight w:val="none"/>
                <w:lang w:val="en-US" w:eastAsia="zh-CN"/>
              </w:rPr>
              <w:t>1、竞争性谈判文件</w:t>
            </w:r>
            <w:r>
              <w:rPr>
                <w:rFonts w:hint="eastAsia"/>
                <w:color w:val="auto"/>
                <w:highlight w:val="none"/>
              </w:rPr>
              <w:t>所有要求提供复印件或影印件或扫描件的，均须加盖</w:t>
            </w:r>
            <w:r>
              <w:rPr>
                <w:rFonts w:hint="eastAsia"/>
                <w:color w:val="auto"/>
                <w:highlight w:val="none"/>
                <w:lang w:eastAsia="zh-CN"/>
              </w:rPr>
              <w:t>响应人</w:t>
            </w:r>
            <w:r>
              <w:rPr>
                <w:rFonts w:hint="eastAsia"/>
                <w:color w:val="auto"/>
                <w:highlight w:val="none"/>
              </w:rPr>
              <w:t>公章。</w:t>
            </w:r>
          </w:p>
          <w:p>
            <w:pPr>
              <w:pStyle w:val="9"/>
              <w:rPr>
                <w:rFonts w:hint="eastAsia"/>
                <w:color w:val="auto"/>
                <w:highlight w:val="none"/>
                <w:lang w:val="en-US" w:eastAsia="zh-CN"/>
              </w:rPr>
            </w:pPr>
            <w:r>
              <w:rPr>
                <w:rFonts w:hint="eastAsia" w:ascii="Times New Roman" w:hAnsi="Times New Roman" w:eastAsia="宋体" w:cs="Times New Roman"/>
                <w:b w:val="0"/>
                <w:color w:val="auto"/>
                <w:kern w:val="2"/>
                <w:sz w:val="21"/>
                <w:highlight w:val="none"/>
                <w:shd w:val="clear"/>
                <w:lang w:val="en-US" w:eastAsia="zh-CN" w:bidi="ar-SA"/>
              </w:rPr>
              <w:t>2、响应人应按照谈判文件要求提供证明材料。若响应人提供了谈判文件未要求的证明材料，谈判小组将不予评审。</w:t>
            </w:r>
          </w:p>
        </w:tc>
      </w:tr>
    </w:tbl>
    <w:p>
      <w:pPr>
        <w:numPr>
          <w:ilvl w:val="0"/>
          <w:numId w:val="0"/>
        </w:numPr>
        <w:rPr>
          <w:rFonts w:hint="eastAsia" w:ascii="宋体" w:hAnsi="宋体" w:cs="宋体"/>
          <w:b w:val="0"/>
          <w:bCs/>
          <w:color w:val="auto"/>
          <w:szCs w:val="21"/>
          <w:highlight w:val="none"/>
          <w:lang w:val="en-US" w:eastAsia="zh-CN"/>
        </w:rPr>
      </w:pPr>
      <w:bookmarkStart w:id="67" w:name="_Toc27586"/>
      <w:bookmarkStart w:id="68" w:name="_Toc7241"/>
      <w:bookmarkStart w:id="69" w:name="_Toc431"/>
      <w:bookmarkStart w:id="70" w:name="_Toc28300"/>
      <w:bookmarkStart w:id="71" w:name="_Toc3977"/>
      <w:bookmarkStart w:id="72" w:name="_Toc54941340"/>
      <w:bookmarkStart w:id="73" w:name="_Toc10569"/>
    </w:p>
    <w:p>
      <w:pPr>
        <w:keepNext w:val="0"/>
        <w:keepLines w:val="0"/>
        <w:pageBreakBefore w:val="0"/>
        <w:widowControl w:val="0"/>
        <w:numPr>
          <w:ilvl w:val="0"/>
          <w:numId w:val="8"/>
        </w:numPr>
        <w:kinsoku/>
        <w:wordWrap/>
        <w:overflowPunct/>
        <w:topLinePunct w:val="0"/>
        <w:autoSpaceDE/>
        <w:autoSpaceDN/>
        <w:bidi w:val="0"/>
        <w:adjustRightInd/>
        <w:snapToGrid/>
        <w:ind w:firstLine="420" w:firstLineChars="200"/>
        <w:textAlignment w:val="auto"/>
        <w:rPr>
          <w:rFonts w:hint="eastAsia" w:ascii="宋体" w:hAnsi="宋体" w:cs="宋体"/>
          <w:b w:val="0"/>
          <w:bCs/>
          <w:color w:val="auto"/>
          <w:szCs w:val="21"/>
          <w:highlight w:val="none"/>
          <w:lang w:val="en-US" w:eastAsia="zh-CN"/>
        </w:rPr>
      </w:pPr>
      <w:r>
        <w:rPr>
          <w:rFonts w:hint="eastAsia"/>
          <w:color w:val="auto"/>
          <w:highlight w:val="none"/>
          <w:lang w:val="en-US" w:eastAsia="zh-CN"/>
        </w:rPr>
        <w:t>谈判。</w:t>
      </w:r>
      <w:r>
        <w:rPr>
          <w:rFonts w:hint="default" w:ascii="宋体" w:hAnsi="宋体" w:cs="宋体"/>
          <w:b w:val="0"/>
          <w:bCs/>
          <w:color w:val="auto"/>
          <w:szCs w:val="21"/>
          <w:highlight w:val="none"/>
          <w:lang w:val="en-US" w:eastAsia="zh-CN"/>
        </w:rPr>
        <w:t>初审合格后</w:t>
      </w:r>
      <w:r>
        <w:rPr>
          <w:rFonts w:hint="eastAsia" w:ascii="宋体" w:hAnsi="宋体" w:cs="宋体"/>
          <w:b w:val="0"/>
          <w:bCs/>
          <w:color w:val="auto"/>
          <w:szCs w:val="21"/>
          <w:highlight w:val="none"/>
          <w:lang w:val="en-US" w:eastAsia="zh-CN"/>
        </w:rPr>
        <w:t>，谈判</w:t>
      </w:r>
      <w:r>
        <w:rPr>
          <w:rFonts w:hint="default" w:ascii="宋体" w:hAnsi="宋体" w:cs="宋体"/>
          <w:b w:val="0"/>
          <w:bCs/>
          <w:color w:val="auto"/>
          <w:szCs w:val="21"/>
          <w:highlight w:val="none"/>
          <w:lang w:val="en-US" w:eastAsia="zh-CN"/>
        </w:rPr>
        <w:t>小组将按</w:t>
      </w:r>
      <w:r>
        <w:rPr>
          <w:rFonts w:hint="eastAsia" w:ascii="宋体" w:hAnsi="宋体" w:cs="宋体"/>
          <w:b w:val="0"/>
          <w:bCs/>
          <w:color w:val="auto"/>
          <w:szCs w:val="21"/>
          <w:highlight w:val="none"/>
          <w:lang w:val="en-US" w:eastAsia="zh-CN"/>
        </w:rPr>
        <w:t>现场响应文件的</w:t>
      </w:r>
      <w:r>
        <w:rPr>
          <w:rFonts w:hint="default" w:ascii="宋体" w:hAnsi="宋体" w:cs="宋体"/>
          <w:b w:val="0"/>
          <w:bCs/>
          <w:color w:val="auto"/>
          <w:szCs w:val="21"/>
          <w:highlight w:val="none"/>
          <w:lang w:val="en-US" w:eastAsia="zh-CN"/>
        </w:rPr>
        <w:t>提交顺序集中与单一供应商分别进行</w:t>
      </w:r>
      <w:r>
        <w:rPr>
          <w:rFonts w:hint="eastAsia" w:ascii="宋体" w:hAnsi="宋体" w:cs="宋体"/>
          <w:b w:val="0"/>
          <w:bCs/>
          <w:color w:val="auto"/>
          <w:szCs w:val="21"/>
          <w:highlight w:val="none"/>
          <w:lang w:val="en-US" w:eastAsia="zh-CN"/>
        </w:rPr>
        <w:t>谈判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3、最后报价评审，</w:t>
      </w:r>
      <w:r>
        <w:rPr>
          <w:rFonts w:hint="eastAsia" w:ascii="宋体" w:hAnsi="宋体" w:cs="宋体"/>
          <w:b w:val="0"/>
          <w:bCs/>
          <w:color w:val="auto"/>
          <w:szCs w:val="21"/>
          <w:highlight w:val="none"/>
          <w:lang w:val="en-US" w:eastAsia="zh-CN"/>
        </w:rPr>
        <w:t>符合谈判文件供应商须知正文第 24 条要求。</w:t>
      </w:r>
    </w:p>
    <w:bookmarkEnd w:id="67"/>
    <w:bookmarkEnd w:id="68"/>
    <w:bookmarkEnd w:id="69"/>
    <w:bookmarkEnd w:id="70"/>
    <w:bookmarkEnd w:id="71"/>
    <w:p>
      <w:pPr>
        <w:pStyle w:val="3"/>
        <w:numPr>
          <w:ilvl w:val="0"/>
          <w:numId w:val="0"/>
        </w:numPr>
        <w:tabs>
          <w:tab w:val="clear" w:pos="1440"/>
          <w:tab w:val="clear" w:pos="5670"/>
        </w:tabs>
        <w:ind w:leftChars="1203"/>
        <w:rPr>
          <w:rFonts w:hint="eastAsia"/>
          <w:color w:val="auto"/>
          <w:highlight w:val="none"/>
          <w:lang w:val="en-US" w:eastAsia="zh-CN"/>
        </w:rPr>
        <w:sectPr>
          <w:footerReference r:id="rId5" w:type="default"/>
          <w:pgSz w:w="11906" w:h="16838"/>
          <w:pgMar w:top="1418" w:right="1418" w:bottom="1276" w:left="1418" w:header="680" w:footer="680" w:gutter="0"/>
          <w:pgNumType w:fmt="decimal"/>
          <w:cols w:space="720" w:num="1"/>
          <w:docGrid w:type="lines" w:linePitch="312" w:charSpace="0"/>
        </w:sectPr>
      </w:pPr>
    </w:p>
    <w:p>
      <w:pPr>
        <w:widowControl/>
        <w:spacing w:line="500" w:lineRule="exact"/>
        <w:ind w:firstLine="422" w:firstLineChars="200"/>
        <w:jc w:val="left"/>
        <w:rPr>
          <w:rFonts w:hint="eastAsia" w:ascii="宋体" w:hAnsi="宋体"/>
          <w:b/>
          <w:bCs/>
          <w:color w:val="auto"/>
          <w:szCs w:val="21"/>
          <w:lang w:eastAsia="zh-CN"/>
        </w:rPr>
      </w:pPr>
      <w:r>
        <w:rPr>
          <w:rFonts w:hint="eastAsia" w:ascii="宋体" w:hAnsi="宋体"/>
          <w:b/>
          <w:bCs/>
          <w:color w:val="auto"/>
          <w:szCs w:val="21"/>
          <w:lang w:eastAsia="zh-CN"/>
        </w:rPr>
        <w:t>附件：样品审查：</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1、投标前，投标人应按招标文件要求准备投标样品，并在样品上标注以下信息：</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w:t>
      </w:r>
      <w:r>
        <w:rPr>
          <w:rFonts w:hint="eastAsia" w:ascii="宋体" w:hAnsi="宋体" w:cs="宋体"/>
          <w:bCs/>
          <w:szCs w:val="21"/>
          <w:u w:val="single"/>
          <w:lang w:val="en-US" w:eastAsia="zh-CN"/>
        </w:rPr>
        <w:t xml:space="preserve">  (投标人全称)  </w:t>
      </w:r>
      <w:r>
        <w:rPr>
          <w:rFonts w:hint="eastAsia" w:ascii="宋体" w:hAnsi="宋体" w:cs="宋体"/>
          <w:bCs/>
          <w:szCs w:val="21"/>
          <w:lang w:val="en-US" w:eastAsia="zh-CN"/>
        </w:rPr>
        <w:t>为</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lang w:val="en-US" w:eastAsia="zh-CN"/>
        </w:rPr>
        <w:t>提供的样品，仅供投标时使用；</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（2）样品部件名称、品种、规格等详细信息；</w:t>
      </w:r>
    </w:p>
    <w:p>
      <w:pPr>
        <w:widowControl/>
        <w:spacing w:line="500" w:lineRule="exact"/>
        <w:ind w:firstLine="420" w:firstLineChars="200"/>
        <w:jc w:val="left"/>
        <w:rPr>
          <w:rFonts w:hint="eastAsia" w:ascii="宋体" w:hAnsi="宋体" w:cs="宋体"/>
          <w:bCs/>
          <w:szCs w:val="21"/>
          <w:lang w:val="en-US" w:eastAsia="zh-CN"/>
        </w:rPr>
      </w:pPr>
      <w:r>
        <w:rPr>
          <w:rFonts w:hint="eastAsia" w:ascii="宋体" w:hAnsi="宋体" w:cs="宋体"/>
          <w:bCs/>
          <w:szCs w:val="21"/>
          <w:lang w:val="en-US" w:eastAsia="zh-CN"/>
        </w:rPr>
        <w:t>（3）样品装入密封袋上清楚地注明“</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”，并应注明：</w:t>
      </w:r>
      <w:r>
        <w:rPr>
          <w:rFonts w:hint="eastAsia" w:ascii="宋体" w:hAnsi="宋体" w:cs="宋体"/>
          <w:b/>
          <w:bCs w:val="0"/>
          <w:szCs w:val="21"/>
          <w:lang w:val="en-US" w:eastAsia="zh-CN"/>
        </w:rPr>
        <w:t>采购人名称：</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ascii="宋体" w:hAnsi="宋体" w:cs="宋体"/>
          <w:bCs/>
          <w:szCs w:val="21"/>
          <w:lang w:val="en-US" w:eastAsia="zh-CN"/>
        </w:rPr>
        <w:t>、</w:t>
      </w:r>
      <w:r>
        <w:rPr>
          <w:rFonts w:hint="eastAsia" w:ascii="宋体" w:hAnsi="宋体" w:cs="宋体"/>
          <w:b/>
          <w:bCs w:val="0"/>
          <w:szCs w:val="21"/>
          <w:lang w:val="en-US" w:eastAsia="zh-CN"/>
        </w:rPr>
        <w:t>采购项目名称</w:t>
      </w:r>
      <w:r>
        <w:rPr>
          <w:rFonts w:hint="eastAsia" w:ascii="宋体" w:hAnsi="宋体" w:cs="宋体"/>
          <w:bCs/>
          <w:szCs w:val="21"/>
          <w:lang w:val="en-US" w:eastAsia="zh-CN"/>
        </w:rPr>
        <w:t>：</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及</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项目编号  </w:t>
      </w:r>
      <w:r>
        <w:rPr>
          <w:rFonts w:hint="eastAsia" w:ascii="宋体" w:hAnsi="宋体" w:cs="宋体"/>
          <w:bCs/>
          <w:szCs w:val="21"/>
          <w:lang w:val="en-US" w:eastAsia="zh-CN"/>
        </w:rPr>
        <w:t>，写明在</w:t>
      </w:r>
      <w:r>
        <w:rPr>
          <w:rFonts w:hint="eastAsia" w:ascii="宋体" w:hAnsi="宋体" w:cs="宋体"/>
          <w:bCs/>
          <w:szCs w:val="21"/>
          <w:u w:val="single"/>
          <w:lang w:val="en-US" w:eastAsia="zh-CN"/>
        </w:rPr>
        <w:t>2024</w:t>
      </w:r>
      <w:r>
        <w:rPr>
          <w:rFonts w:hint="eastAsia" w:ascii="宋体" w:hAnsi="宋体" w:cs="宋体"/>
          <w:bCs/>
          <w:szCs w:val="21"/>
          <w:lang w:val="en-US" w:eastAsia="zh-CN"/>
        </w:rPr>
        <w:t>年</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月</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日</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时</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分前不得开封，写明投标人名称，并骑缝加盖投标人单位公章。</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2、投标时，投标人应随投标文件提交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并送达指定地点（同开标地点），交至现场工作人员处进行编号，并按要求填写</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投标材料交接表  </w:t>
      </w:r>
      <w:r>
        <w:rPr>
          <w:rFonts w:hint="eastAsia" w:ascii="宋体" w:hAnsi="宋体" w:cs="宋体"/>
          <w:bCs/>
          <w:szCs w:val="21"/>
          <w:lang w:val="en-US" w:eastAsia="zh-CN"/>
        </w:rPr>
        <w:t>，注明投标人全称、样品部件名称及数量，递交样品时间、授权委托人姓名及联系方式等；</w:t>
      </w:r>
    </w:p>
    <w:p>
      <w:pPr>
        <w:pStyle w:val="2"/>
        <w:jc w:val="both"/>
        <w:rPr>
          <w:rFonts w:hint="eastAsia" w:ascii="宋体" w:hAnsi="宋体" w:cs="宋体"/>
          <w:bCs/>
          <w:szCs w:val="21"/>
          <w:lang w:val="en-US" w:eastAsia="zh-CN"/>
        </w:rPr>
      </w:pPr>
      <w:r>
        <w:rPr>
          <w:rFonts w:hint="eastAsia" w:ascii="宋体" w:hAnsi="宋体" w:cs="宋体"/>
          <w:bCs/>
          <w:szCs w:val="21"/>
          <w:lang w:val="en-US" w:eastAsia="zh-CN"/>
        </w:rPr>
        <w:t>3、投标人应当在投标截止时间前递交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至开标地点，</w:t>
      </w:r>
      <w:r>
        <w:rPr>
          <w:rFonts w:hint="eastAsia" w:ascii="宋体" w:hAnsi="宋体" w:cs="宋体"/>
          <w:b/>
          <w:bCs w:val="0"/>
          <w:szCs w:val="21"/>
          <w:lang w:val="en-US" w:eastAsia="zh-CN"/>
        </w:rPr>
        <w:t>逾期将不予接收，并否决其投标资格</w:t>
      </w:r>
      <w:r>
        <w:rPr>
          <w:rFonts w:hint="eastAsia" w:ascii="宋体" w:hAnsi="宋体" w:cs="宋体"/>
          <w:bCs/>
          <w:szCs w:val="21"/>
          <w:lang w:val="en-US" w:eastAsia="zh-CN"/>
        </w:rPr>
        <w:t>；</w:t>
      </w:r>
    </w:p>
    <w:p>
      <w:pPr>
        <w:pStyle w:val="2"/>
        <w:jc w:val="center"/>
        <w:rPr>
          <w:rFonts w:hint="default"/>
          <w:lang w:val="en-US" w:eastAsia="zh-CN"/>
        </w:rPr>
      </w:pPr>
      <w:r>
        <w:rPr>
          <w:rFonts w:hint="eastAsia" w:ascii="宋体" w:hAnsi="宋体" w:cs="宋体"/>
          <w:bCs/>
          <w:szCs w:val="21"/>
          <w:lang w:val="en-US" w:eastAsia="zh-CN"/>
        </w:rPr>
        <w:t>样品审查评审表</w:t>
      </w:r>
    </w:p>
    <w:tbl>
      <w:tblPr>
        <w:tblStyle w:val="63"/>
        <w:tblpPr w:leftFromText="180" w:rightFromText="180" w:vertAnchor="text" w:horzAnchor="page" w:tblpX="1369" w:tblpY="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274"/>
        <w:gridCol w:w="846"/>
        <w:gridCol w:w="319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序号</w:t>
            </w:r>
          </w:p>
        </w:tc>
        <w:tc>
          <w:tcPr>
            <w:tcW w:w="2274"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w:t>
            </w:r>
            <w:r>
              <w:rPr>
                <w:rFonts w:hint="eastAsia" w:ascii="宋体" w:hAnsi="宋体" w:cs="宋体"/>
                <w:bCs/>
                <w:spacing w:val="0"/>
                <w:kern w:val="2"/>
                <w:sz w:val="21"/>
                <w:szCs w:val="21"/>
                <w:lang w:val="en-US" w:eastAsia="zh-CN" w:bidi="ar-SA"/>
              </w:rPr>
              <w:t>（小样）</w:t>
            </w:r>
            <w:r>
              <w:rPr>
                <w:rFonts w:hint="eastAsia" w:ascii="宋体" w:hAnsi="宋体" w:eastAsia="宋体" w:cs="宋体"/>
                <w:bCs/>
                <w:spacing w:val="0"/>
                <w:kern w:val="2"/>
                <w:sz w:val="21"/>
                <w:szCs w:val="21"/>
                <w:lang w:val="en-US" w:eastAsia="zh-CN" w:bidi="ar-SA"/>
              </w:rPr>
              <w:t>部件名称</w:t>
            </w:r>
          </w:p>
        </w:tc>
        <w:tc>
          <w:tcPr>
            <w:tcW w:w="846" w:type="dxa"/>
            <w:vAlign w:val="center"/>
          </w:tcPr>
          <w:p>
            <w:pPr>
              <w:pStyle w:val="2"/>
              <w:ind w:left="0" w:leftChars="0" w:firstLine="0" w:firstLineChars="0"/>
              <w:jc w:val="both"/>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数量</w:t>
            </w:r>
            <w:r>
              <w:rPr>
                <w:rFonts w:hint="eastAsia" w:ascii="宋体" w:hAnsi="宋体" w:cs="宋体"/>
                <w:bCs/>
                <w:spacing w:val="0"/>
                <w:kern w:val="2"/>
                <w:sz w:val="21"/>
                <w:szCs w:val="21"/>
                <w:lang w:val="en-US" w:eastAsia="zh-CN" w:bidi="ar-SA"/>
              </w:rPr>
              <w:t>（件）</w:t>
            </w:r>
          </w:p>
        </w:tc>
        <w:tc>
          <w:tcPr>
            <w:tcW w:w="3195"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样品参数</w:t>
            </w:r>
          </w:p>
        </w:tc>
        <w:tc>
          <w:tcPr>
            <w:tcW w:w="2125" w:type="dxa"/>
            <w:vAlign w:val="center"/>
          </w:tcPr>
          <w:p>
            <w:pPr>
              <w:pStyle w:val="2"/>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合格</w:t>
            </w:r>
            <w:r>
              <w:rPr>
                <w:rFonts w:hint="eastAsia" w:ascii="宋体" w:hAnsi="宋体" w:eastAsia="宋体" w:cs="宋体"/>
                <w:bCs/>
                <w:spacing w:val="0"/>
                <w:kern w:val="2"/>
                <w:sz w:val="21"/>
                <w:szCs w:val="21"/>
                <w:lang w:val="en-US" w:eastAsia="zh-CN" w:bidi="ar-SA"/>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2274" w:type="dxa"/>
            <w:vAlign w:val="center"/>
          </w:tcPr>
          <w:p>
            <w:pPr>
              <w:jc w:val="center"/>
              <w:rPr>
                <w:rFonts w:hint="eastAsia" w:ascii="宋体" w:hAnsi="宋体" w:eastAsia="宋体" w:cs="宋体"/>
                <w:bCs/>
                <w:spacing w:val="0"/>
                <w:kern w:val="2"/>
                <w:sz w:val="24"/>
                <w:szCs w:val="24"/>
                <w:lang w:val="en-US" w:eastAsia="zh-CN" w:bidi="ar-SA"/>
              </w:rPr>
            </w:pPr>
            <w:r>
              <w:rPr>
                <w:rFonts w:hint="eastAsia"/>
                <w:sz w:val="24"/>
                <w:szCs w:val="24"/>
              </w:rPr>
              <w:t>台盆单口龙头</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restart"/>
            <w:vAlign w:val="center"/>
          </w:tcPr>
          <w:p>
            <w:pPr>
              <w:pStyle w:val="2"/>
              <w:ind w:left="0" w:leftChars="0" w:firstLine="0" w:firstLineChars="0"/>
              <w:jc w:val="center"/>
              <w:rPr>
                <w:rFonts w:hint="eastAsia"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见谈判文件第三章采购需求</w:t>
            </w:r>
          </w:p>
          <w:p>
            <w:pPr>
              <w:jc w:val="center"/>
              <w:rPr>
                <w:rFonts w:hint="eastAsia" w:ascii="宋体" w:hAnsi="宋体" w:eastAsia="宋体" w:cs="宋体"/>
                <w:bCs/>
                <w:spacing w:val="0"/>
                <w:kern w:val="2"/>
                <w:sz w:val="21"/>
                <w:szCs w:val="21"/>
                <w:lang w:val="en-US" w:eastAsia="zh-CN" w:bidi="ar-SA"/>
              </w:rPr>
            </w:pPr>
          </w:p>
        </w:tc>
        <w:tc>
          <w:tcPr>
            <w:tcW w:w="2125" w:type="dxa"/>
            <w:vMerge w:val="restart"/>
            <w:vAlign w:val="center"/>
          </w:tcPr>
          <w:p>
            <w:pPr>
              <w:pStyle w:val="2"/>
              <w:ind w:left="0" w:leftChars="0" w:firstLine="0" w:firstLineChars="0"/>
              <w:jc w:val="center"/>
              <w:rPr>
                <w:rFonts w:hint="eastAsia"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符合招标文件第三章中第三章采购需求要求</w:t>
            </w:r>
          </w:p>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2</w:t>
            </w:r>
          </w:p>
        </w:tc>
        <w:tc>
          <w:tcPr>
            <w:tcW w:w="2274" w:type="dxa"/>
            <w:vAlign w:val="center"/>
          </w:tcPr>
          <w:p>
            <w:pPr>
              <w:jc w:val="center"/>
              <w:rPr>
                <w:rFonts w:hint="eastAsia" w:ascii="宋体" w:hAnsi="宋体" w:eastAsia="宋体" w:cs="宋体"/>
                <w:bCs/>
                <w:spacing w:val="0"/>
                <w:kern w:val="2"/>
                <w:sz w:val="24"/>
                <w:szCs w:val="24"/>
                <w:lang w:val="en-US" w:eastAsia="zh-CN" w:bidi="ar-SA"/>
              </w:rPr>
            </w:pPr>
            <w:r>
              <w:rPr>
                <w:rFonts w:hint="eastAsia"/>
                <w:sz w:val="24"/>
                <w:szCs w:val="24"/>
              </w:rPr>
              <w:t>三角阀</w:t>
            </w:r>
          </w:p>
        </w:tc>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3</w:t>
            </w:r>
          </w:p>
        </w:tc>
        <w:tc>
          <w:tcPr>
            <w:tcW w:w="2274" w:type="dxa"/>
            <w:vAlign w:val="center"/>
          </w:tcPr>
          <w:p>
            <w:pPr>
              <w:jc w:val="center"/>
              <w:rPr>
                <w:rFonts w:hint="eastAsia" w:ascii="宋体" w:hAnsi="宋体" w:eastAsia="宋体" w:cs="宋体"/>
                <w:bCs/>
                <w:spacing w:val="0"/>
                <w:kern w:val="2"/>
                <w:sz w:val="21"/>
                <w:szCs w:val="21"/>
                <w:lang w:val="en-US" w:eastAsia="zh-CN" w:bidi="ar-SA"/>
              </w:rPr>
            </w:pPr>
            <w:r>
              <w:rPr>
                <w:rFonts w:hint="eastAsia"/>
              </w:rPr>
              <w:t>ppr</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4</w:t>
            </w:r>
          </w:p>
        </w:tc>
        <w:tc>
          <w:tcPr>
            <w:tcW w:w="2274" w:type="dxa"/>
            <w:vAlign w:val="center"/>
          </w:tcPr>
          <w:p>
            <w:pPr>
              <w:jc w:val="center"/>
              <w:rPr>
                <w:rFonts w:hint="eastAsia" w:ascii="宋体" w:hAnsi="宋体" w:eastAsia="宋体" w:cs="宋体"/>
                <w:bCs/>
                <w:spacing w:val="0"/>
                <w:kern w:val="2"/>
                <w:sz w:val="21"/>
                <w:szCs w:val="21"/>
                <w:lang w:val="en-US" w:eastAsia="zh-CN" w:bidi="ar-SA"/>
              </w:rPr>
            </w:pPr>
            <w:r>
              <w:t>P</w:t>
            </w:r>
            <w:r>
              <w:rPr>
                <w:rFonts w:hint="eastAsia"/>
              </w:rPr>
              <w:t>pr铜闸阀</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5</w:t>
            </w:r>
          </w:p>
        </w:tc>
        <w:tc>
          <w:tcPr>
            <w:tcW w:w="2274" w:type="dxa"/>
            <w:vAlign w:val="center"/>
          </w:tcPr>
          <w:p>
            <w:pPr>
              <w:jc w:val="center"/>
              <w:rPr>
                <w:rFonts w:hint="eastAsia" w:asciiTheme="minorEastAsia" w:hAnsiTheme="minorEastAsia" w:eastAsiaTheme="minorEastAsia"/>
                <w:sz w:val="24"/>
                <w:szCs w:val="24"/>
              </w:rPr>
            </w:pPr>
            <w:r>
              <w:rPr>
                <w:rFonts w:hint="eastAsia"/>
              </w:rPr>
              <w:t>冲水箱</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6</w:t>
            </w:r>
          </w:p>
        </w:tc>
        <w:tc>
          <w:tcPr>
            <w:tcW w:w="2274" w:type="dxa"/>
            <w:vAlign w:val="center"/>
          </w:tcPr>
          <w:p>
            <w:pPr>
              <w:jc w:val="center"/>
              <w:rPr>
                <w:rFonts w:hint="eastAsia" w:asciiTheme="minorEastAsia" w:hAnsiTheme="minorEastAsia" w:eastAsiaTheme="minorEastAsia"/>
                <w:sz w:val="24"/>
                <w:szCs w:val="24"/>
              </w:rPr>
            </w:pPr>
            <w:r>
              <w:rPr>
                <w:rFonts w:hint="eastAsia"/>
              </w:rPr>
              <w:t>小便池冲水阀</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7</w:t>
            </w:r>
          </w:p>
        </w:tc>
        <w:tc>
          <w:tcPr>
            <w:tcW w:w="2274" w:type="dxa"/>
            <w:vAlign w:val="center"/>
          </w:tcPr>
          <w:p>
            <w:pPr>
              <w:jc w:val="center"/>
              <w:rPr>
                <w:rFonts w:hint="eastAsia" w:asciiTheme="minorEastAsia" w:hAnsiTheme="minorEastAsia" w:eastAsiaTheme="minorEastAsia"/>
                <w:sz w:val="24"/>
                <w:szCs w:val="24"/>
              </w:rPr>
            </w:pPr>
            <w:r>
              <w:rPr>
                <w:rFonts w:hint="eastAsia"/>
              </w:rPr>
              <w:t>台盆下水</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8</w:t>
            </w:r>
          </w:p>
        </w:tc>
        <w:tc>
          <w:tcPr>
            <w:tcW w:w="2274" w:type="dxa"/>
            <w:vAlign w:val="center"/>
          </w:tcPr>
          <w:p>
            <w:pPr>
              <w:pStyle w:val="2"/>
              <w:ind w:left="0" w:leftChars="0" w:firstLine="0" w:firstLineChars="0"/>
              <w:jc w:val="center"/>
              <w:rPr>
                <w:rFonts w:hint="eastAsia" w:asciiTheme="minorEastAsia" w:hAnsiTheme="minorEastAsia" w:eastAsiaTheme="minorEastAsia"/>
                <w:sz w:val="24"/>
                <w:szCs w:val="24"/>
              </w:rPr>
            </w:pPr>
            <w:r>
              <w:t>P</w:t>
            </w:r>
            <w:r>
              <w:rPr>
                <w:rFonts w:hint="eastAsia"/>
              </w:rPr>
              <w:t>pr直接</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9</w:t>
            </w:r>
          </w:p>
        </w:tc>
        <w:tc>
          <w:tcPr>
            <w:tcW w:w="2274" w:type="dxa"/>
            <w:vAlign w:val="center"/>
          </w:tcPr>
          <w:p>
            <w:pPr>
              <w:pStyle w:val="2"/>
              <w:ind w:left="0" w:leftChars="0" w:firstLine="0" w:firstLineChars="0"/>
              <w:jc w:val="center"/>
              <w:rPr>
                <w:rFonts w:hint="eastAsia" w:asciiTheme="minorEastAsia" w:hAnsiTheme="minorEastAsia" w:eastAsiaTheme="minorEastAsia"/>
                <w:sz w:val="24"/>
                <w:szCs w:val="24"/>
              </w:rPr>
            </w:pPr>
            <w:r>
              <w:rPr>
                <w:rFonts w:hint="eastAsia"/>
              </w:rPr>
              <w:t>台盆下水管</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bl>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pStyle w:val="3"/>
        <w:numPr>
          <w:ilvl w:val="0"/>
          <w:numId w:val="0"/>
        </w:numPr>
        <w:tabs>
          <w:tab w:val="clear" w:pos="1440"/>
          <w:tab w:val="clear" w:pos="5670"/>
        </w:tabs>
        <w:ind w:leftChars="1203"/>
        <w:rPr>
          <w:color w:val="auto"/>
          <w:highlight w:val="none"/>
        </w:rPr>
      </w:pPr>
      <w:r>
        <w:rPr>
          <w:rFonts w:hint="eastAsia"/>
          <w:color w:val="auto"/>
          <w:highlight w:val="none"/>
          <w:lang w:val="en-US" w:eastAsia="zh-CN"/>
        </w:rPr>
        <w:t xml:space="preserve">第五章  </w:t>
      </w:r>
      <w:r>
        <w:rPr>
          <w:rFonts w:hint="eastAsia"/>
          <w:color w:val="auto"/>
          <w:highlight w:val="none"/>
        </w:rPr>
        <w:t xml:space="preserve">政府采购合同主要条款 </w:t>
      </w:r>
    </w:p>
    <w:p>
      <w:pPr>
        <w:spacing w:line="360" w:lineRule="auto"/>
        <w:jc w:val="center"/>
        <w:outlineLvl w:val="2"/>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eastAsia="zh-CN"/>
        </w:rPr>
        <w:t>服务</w:t>
      </w:r>
      <w:r>
        <w:rPr>
          <w:rFonts w:hint="eastAsia" w:asciiTheme="minorEastAsia" w:hAnsiTheme="minorEastAsia" w:eastAsiaTheme="minorEastAsia"/>
          <w:b/>
          <w:color w:val="auto"/>
          <w:sz w:val="28"/>
          <w:szCs w:val="28"/>
          <w:highlight w:val="none"/>
        </w:rPr>
        <w:t>类合同条款</w:t>
      </w:r>
    </w:p>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第一部分 合同书</w:t>
      </w:r>
    </w:p>
    <w:p>
      <w:pPr>
        <w:spacing w:line="480" w:lineRule="auto"/>
        <w:jc w:val="center"/>
        <w:rPr>
          <w:rFonts w:asciiTheme="minorEastAsia" w:hAnsiTheme="minorEastAsia" w:eastAsiaTheme="minorEastAsia"/>
          <w:b/>
          <w:color w:val="auto"/>
          <w:sz w:val="24"/>
          <w:highlight w:val="none"/>
        </w:rPr>
      </w:pPr>
    </w:p>
    <w:p>
      <w:pPr>
        <w:spacing w:before="120" w:line="480" w:lineRule="auto"/>
        <w:ind w:left="96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项目名称：______________________________</w:t>
      </w:r>
      <w:r>
        <w:rPr>
          <w:rFonts w:hint="eastAsia" w:asciiTheme="minorEastAsia" w:hAnsiTheme="minorEastAsia" w:eastAsiaTheme="minorEastAsia"/>
          <w:color w:val="auto"/>
          <w:sz w:val="24"/>
          <w:highlight w:val="non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甲方（采购人）：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乙方（成交人）：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1680" w:firstLineChars="7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签订地点：</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2160" w:firstLineChars="9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76"/>
        <w:rPr>
          <w:color w:val="auto"/>
          <w:highlight w:val="none"/>
        </w:rPr>
      </w:pPr>
    </w:p>
    <w:p>
      <w:pPr>
        <w:spacing w:line="360" w:lineRule="auto"/>
        <w:ind w:firstLine="435"/>
        <w:rPr>
          <w:rFonts w:hint="eastAsia"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b/>
          <w:bCs/>
          <w:color w:val="auto"/>
          <w:sz w:val="24"/>
          <w:highlight w:val="none"/>
          <w:lang w:val="zh-CN"/>
        </w:rPr>
      </w:pPr>
      <w:bookmarkStart w:id="74" w:name="_Toc24059"/>
      <w:bookmarkStart w:id="75" w:name="_Toc3029"/>
      <w:bookmarkStart w:id="76" w:name="_Toc2232"/>
      <w:r>
        <w:rPr>
          <w:rFonts w:hint="eastAsia" w:asciiTheme="minorEastAsia" w:hAnsiTheme="minorEastAsia" w:eastAsiaTheme="minorEastAsia"/>
          <w:b/>
          <w:bCs/>
          <w:color w:val="auto"/>
          <w:sz w:val="24"/>
          <w:highlight w:val="none"/>
          <w:lang w:val="zh-CN"/>
        </w:rPr>
        <w:t>1.1</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合同组成部分</w:t>
      </w:r>
      <w:bookmarkEnd w:id="74"/>
      <w:bookmarkEnd w:id="75"/>
      <w:bookmarkEnd w:id="76"/>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1.1.1本合同及其补充合同、变更协议；</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1.1.2成交通知书；</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1.1.3响应文件（含澄清或者说明文件）；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1.1.4</w:t>
      </w:r>
      <w:r>
        <w:rPr>
          <w:rFonts w:hint="eastAsia" w:asciiTheme="minorEastAsia" w:hAnsiTheme="minorEastAsia" w:eastAsiaTheme="minorEastAsia"/>
          <w:color w:val="auto"/>
          <w:sz w:val="24"/>
          <w:highlight w:val="none"/>
          <w:lang w:val="en-US" w:eastAsia="zh-CN"/>
        </w:rPr>
        <w:t>竞争性</w:t>
      </w:r>
      <w:r>
        <w:rPr>
          <w:rFonts w:hint="eastAsia" w:asciiTheme="minorEastAsia" w:hAnsiTheme="minorEastAsia" w:eastAsiaTheme="minorEastAsia"/>
          <w:color w:val="auto"/>
          <w:sz w:val="24"/>
          <w:highlight w:val="none"/>
          <w:lang w:val="zh-CN"/>
        </w:rPr>
        <w:t>谈判文件（含澄清或者修改文件）；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1.1.5其他相关采购文件。</w:t>
      </w:r>
    </w:p>
    <w:p>
      <w:pPr>
        <w:spacing w:line="360" w:lineRule="auto"/>
        <w:ind w:firstLine="437"/>
        <w:outlineLvl w:val="3"/>
        <w:rPr>
          <w:rFonts w:hint="eastAsia" w:asciiTheme="minorEastAsia" w:hAnsiTheme="minorEastAsia" w:eastAsiaTheme="minorEastAsia"/>
          <w:b/>
          <w:bCs/>
          <w:color w:val="auto"/>
          <w:sz w:val="24"/>
          <w:highlight w:val="none"/>
          <w:lang w:val="zh-CN"/>
        </w:rPr>
      </w:pPr>
      <w:bookmarkStart w:id="77" w:name="_Toc21295"/>
      <w:bookmarkStart w:id="78" w:name="_Toc27126"/>
      <w:bookmarkStart w:id="79" w:name="_Toc24300"/>
      <w:r>
        <w:rPr>
          <w:rFonts w:hint="eastAsia" w:asciiTheme="minorEastAsia" w:hAnsiTheme="minorEastAsia" w:eastAsiaTheme="minorEastAsia"/>
          <w:b/>
          <w:bCs/>
          <w:color w:val="auto"/>
          <w:sz w:val="24"/>
          <w:highlight w:val="none"/>
          <w:lang w:val="zh-CN"/>
        </w:rPr>
        <w:t>1.2</w:t>
      </w:r>
      <w:r>
        <w:rPr>
          <w:rFonts w:asciiTheme="minorEastAsia" w:hAnsiTheme="minorEastAsia" w:eastAsiaTheme="minorEastAsia"/>
          <w:b/>
          <w:bCs/>
          <w:color w:val="auto"/>
          <w:sz w:val="24"/>
          <w:highlight w:val="none"/>
          <w:lang w:val="zh-CN"/>
        </w:rPr>
        <w:t xml:space="preserve"> </w:t>
      </w:r>
      <w:bookmarkEnd w:id="77"/>
      <w:bookmarkEnd w:id="78"/>
      <w:bookmarkEnd w:id="79"/>
      <w:r>
        <w:rPr>
          <w:rFonts w:hint="eastAsia" w:asciiTheme="minorEastAsia" w:hAnsiTheme="minorEastAsia" w:eastAsiaTheme="minorEastAsia"/>
          <w:b/>
          <w:bCs/>
          <w:color w:val="auto"/>
          <w:sz w:val="24"/>
          <w:highlight w:val="none"/>
          <w:lang w:val="zh-CN"/>
        </w:rPr>
        <w:t>服务</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1.2.1服务</w:t>
      </w:r>
      <w:r>
        <w:rPr>
          <w:rFonts w:ascii="宋体" w:hAnsi="宋体" w:eastAsia="宋体"/>
          <w:color w:val="auto"/>
          <w:sz w:val="24"/>
          <w:highlight w:val="none"/>
        </w:rPr>
        <w:t>名称：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1.2.2服务内容</w:t>
      </w:r>
      <w:r>
        <w:rPr>
          <w:rFonts w:ascii="宋体" w:hAnsi="宋体" w:eastAsia="宋体"/>
          <w:color w:val="auto"/>
          <w:sz w:val="24"/>
          <w:highlight w:val="none"/>
        </w:rPr>
        <w:t>：</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color w:val="auto"/>
          <w:highlight w:val="none"/>
          <w:lang w:val="zh-CN"/>
        </w:rPr>
      </w:pPr>
      <w:r>
        <w:rPr>
          <w:rFonts w:hint="eastAsia" w:ascii="宋体" w:hAnsi="宋体" w:eastAsia="宋体"/>
          <w:color w:val="auto"/>
          <w:sz w:val="24"/>
          <w:highlight w:val="none"/>
        </w:rPr>
        <w:t>1.2.3服务质量：</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0" w:name="_Toc21631"/>
      <w:bookmarkStart w:id="81" w:name="_Toc23292"/>
      <w:bookmarkStart w:id="82" w:name="_Toc2155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 xml:space="preserve">3 </w:t>
      </w:r>
      <w:r>
        <w:rPr>
          <w:rFonts w:hint="eastAsia" w:asciiTheme="minorEastAsia" w:hAnsiTheme="minorEastAsia" w:eastAsiaTheme="minorEastAsia"/>
          <w:b/>
          <w:bCs/>
          <w:color w:val="auto"/>
          <w:sz w:val="24"/>
          <w:highlight w:val="none"/>
          <w:lang w:val="zh-CN"/>
        </w:rPr>
        <w:t>价款</w:t>
      </w:r>
      <w:bookmarkEnd w:id="80"/>
      <w:bookmarkEnd w:id="81"/>
      <w:bookmarkEnd w:id="8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本合同总价为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（大写：人民币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2"/>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447"/>
        <w:gridCol w:w="2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vAlign w:val="center"/>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序号</w:t>
            </w:r>
          </w:p>
        </w:tc>
        <w:tc>
          <w:tcPr>
            <w:tcW w:w="4447" w:type="dxa"/>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分项名称</w:t>
            </w:r>
          </w:p>
        </w:tc>
        <w:tc>
          <w:tcPr>
            <w:tcW w:w="3368" w:type="dxa"/>
            <w:gridSpan w:val="2"/>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25" w:type="dxa"/>
            <w:gridSpan w:val="3"/>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总价</w:t>
            </w:r>
          </w:p>
        </w:tc>
        <w:tc>
          <w:tcPr>
            <w:tcW w:w="3345" w:type="dxa"/>
            <w:vAlign w:val="center"/>
          </w:tcPr>
          <w:p>
            <w:pPr>
              <w:ind w:firstLine="200"/>
              <w:jc w:val="center"/>
              <w:rPr>
                <w:rFonts w:asciiTheme="minorEastAsia" w:hAnsiTheme="minorEastAsia" w:eastAsiaTheme="minorEastAsia"/>
                <w:color w:val="auto"/>
                <w:sz w:val="24"/>
                <w:highlight w:val="none"/>
              </w:rPr>
            </w:pPr>
          </w:p>
        </w:tc>
      </w:tr>
    </w:tbl>
    <w:p>
      <w:pPr>
        <w:spacing w:line="360" w:lineRule="auto"/>
        <w:ind w:firstLine="437"/>
        <w:outlineLvl w:val="3"/>
        <w:rPr>
          <w:rFonts w:asciiTheme="minorEastAsia" w:hAnsiTheme="minorEastAsia" w:eastAsiaTheme="minorEastAsia"/>
          <w:b/>
          <w:bCs/>
          <w:color w:val="auto"/>
          <w:sz w:val="24"/>
          <w:highlight w:val="none"/>
          <w:lang w:val="zh-CN"/>
        </w:rPr>
      </w:pPr>
      <w:bookmarkStart w:id="83" w:name="_Toc22618"/>
      <w:bookmarkStart w:id="84" w:name="_Toc10340"/>
      <w:bookmarkStart w:id="85" w:name="_Toc1814"/>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4 付款方式和发票开具方式</w:t>
      </w:r>
      <w:bookmarkEnd w:id="83"/>
      <w:bookmarkEnd w:id="84"/>
      <w:bookmarkEnd w:id="8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asciiTheme="minorEastAsia" w:hAnsiTheme="minorEastAsia" w:eastAsiaTheme="minorEastAsia"/>
          <w:color w:val="auto"/>
          <w:sz w:val="24"/>
          <w:highlight w:val="none"/>
        </w:rPr>
        <w:t>付款方式：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1.4.2发票开具方式：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6" w:name="_Toc19304"/>
      <w:bookmarkStart w:id="87" w:name="_Toc32071"/>
      <w:bookmarkStart w:id="88" w:name="_Toc2846"/>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5 货物交付期限</w:t>
      </w:r>
      <w:r>
        <w:rPr>
          <w:rFonts w:hint="eastAsia" w:asciiTheme="minorEastAsia" w:hAnsiTheme="minorEastAsia" w:eastAsiaTheme="minorEastAsia"/>
          <w:b/>
          <w:bCs/>
          <w:color w:val="auto"/>
          <w:sz w:val="24"/>
          <w:highlight w:val="none"/>
          <w:lang w:val="zh-CN"/>
        </w:rPr>
        <w:t>、地点和方式</w:t>
      </w:r>
      <w:bookmarkEnd w:id="86"/>
      <w:bookmarkEnd w:id="87"/>
      <w:bookmarkEnd w:id="88"/>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1.5.1交付期限</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1.5.2交付地点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1.5.3交付方式：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9" w:name="_Toc21423"/>
      <w:bookmarkStart w:id="90" w:name="_Toc27250"/>
      <w:bookmarkStart w:id="91" w:name="_Toc19554"/>
      <w:r>
        <w:rPr>
          <w:rFonts w:hint="eastAsia" w:asciiTheme="minorEastAsia" w:hAnsiTheme="minorEastAsia" w:eastAsiaTheme="minorEastAsia"/>
          <w:b/>
          <w:bCs/>
          <w:color w:val="auto"/>
          <w:sz w:val="24"/>
          <w:highlight w:val="none"/>
          <w:lang w:val="zh-CN"/>
        </w:rPr>
        <w:t>1.6 违约责任</w:t>
      </w:r>
      <w:bookmarkEnd w:id="89"/>
      <w:bookmarkEnd w:id="90"/>
      <w:bookmarkEnd w:id="9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地点和方式交付货物，那么甲方可要求乙方支付违约金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违约金按每迟延交付货物一日的应交付而未交付货物价格的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迟延交付货物的违约金计算数额达到前述最高限额之日起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7"/>
        <w:outlineLvl w:val="3"/>
        <w:rPr>
          <w:rFonts w:asciiTheme="minorEastAsia" w:hAnsiTheme="minorEastAsia" w:eastAsiaTheme="minorEastAsia"/>
          <w:b/>
          <w:bCs/>
          <w:color w:val="auto"/>
          <w:sz w:val="24"/>
          <w:highlight w:val="none"/>
          <w:lang w:val="zh-CN"/>
        </w:rPr>
      </w:pPr>
      <w:bookmarkStart w:id="92" w:name="_Toc28375"/>
      <w:bookmarkStart w:id="93" w:name="_Toc16021"/>
      <w:bookmarkStart w:id="94" w:name="_Toc15583"/>
      <w:r>
        <w:rPr>
          <w:rFonts w:hint="eastAsia" w:asciiTheme="minorEastAsia" w:hAnsiTheme="minorEastAsia" w:eastAsiaTheme="minorEastAsia"/>
          <w:b/>
          <w:bCs/>
          <w:color w:val="auto"/>
          <w:sz w:val="24"/>
          <w:highlight w:val="none"/>
          <w:lang w:val="zh-CN"/>
        </w:rPr>
        <w:t>1.7</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w:t>
      </w:r>
      <w:r>
        <w:rPr>
          <w:rFonts w:asciiTheme="minorEastAsia" w:hAnsiTheme="minorEastAsia" w:eastAsiaTheme="minorEastAsia"/>
          <w:b/>
          <w:bCs/>
          <w:color w:val="auto"/>
          <w:sz w:val="24"/>
          <w:highlight w:val="none"/>
          <w:lang w:val="zh-CN"/>
        </w:rPr>
        <w:t>争议的解决</w:t>
      </w:r>
      <w:bookmarkEnd w:id="92"/>
      <w:bookmarkEnd w:id="93"/>
      <w:bookmarkEnd w:id="94"/>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b/>
          <w:bCs/>
          <w:color w:val="auto"/>
          <w:sz w:val="24"/>
          <w:highlight w:val="none"/>
          <w:lang w:val="zh-CN"/>
        </w:rPr>
      </w:pPr>
      <w:bookmarkStart w:id="95" w:name="_Toc15322"/>
      <w:bookmarkStart w:id="96" w:name="_Toc11173"/>
      <w:bookmarkStart w:id="97" w:name="_Toc7245"/>
      <w:r>
        <w:rPr>
          <w:rFonts w:hint="eastAsia" w:asciiTheme="minorEastAsia" w:hAnsiTheme="minorEastAsia" w:eastAsiaTheme="minorEastAsia"/>
          <w:b/>
          <w:bCs/>
          <w:color w:val="auto"/>
          <w:sz w:val="24"/>
          <w:highlight w:val="none"/>
          <w:lang w:val="zh-CN"/>
        </w:rPr>
        <w:t>1.8</w:t>
      </w:r>
      <w:r>
        <w:rPr>
          <w:rFonts w:asciiTheme="minorEastAsia" w:hAnsiTheme="minorEastAsia" w:eastAsiaTheme="minorEastAsia"/>
          <w:b/>
          <w:bCs/>
          <w:color w:val="auto"/>
          <w:sz w:val="24"/>
          <w:highlight w:val="none"/>
          <w:lang w:val="zh-CN"/>
        </w:rPr>
        <w:t xml:space="preserve"> 合同生效</w:t>
      </w:r>
      <w:bookmarkEnd w:id="95"/>
      <w:bookmarkEnd w:id="96"/>
      <w:bookmarkEnd w:id="9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双方当事人盖章时</w:t>
      </w:r>
      <w:r>
        <w:rPr>
          <w:rFonts w:asciiTheme="minorEastAsia" w:hAnsiTheme="minorEastAsia" w:eastAsiaTheme="minorEastAsia"/>
          <w:color w:val="auto"/>
          <w:sz w:val="24"/>
          <w:highlight w:val="none"/>
        </w:rPr>
        <w:t>生效。</w:t>
      </w: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bCs/>
          <w:color w:val="auto"/>
          <w:sz w:val="24"/>
          <w:highlight w:val="none"/>
          <w:lang w:val="zh-CN"/>
        </w:rPr>
      </w:pPr>
      <w:r>
        <w:rPr>
          <w:rFonts w:hint="eastAsia" w:asciiTheme="minorEastAsia" w:hAnsiTheme="minorEastAsia" w:eastAsiaTheme="minorEastAsia"/>
          <w:bCs/>
          <w:color w:val="auto"/>
          <w:sz w:val="24"/>
          <w:highlight w:val="none"/>
          <w:lang w:val="zh-CN"/>
        </w:rPr>
        <w:t xml:space="preserve">甲 </w:t>
      </w:r>
      <w:r>
        <w:rPr>
          <w:rFonts w:asciiTheme="minorEastAsia" w:hAnsiTheme="minorEastAsia" w:eastAsiaTheme="minorEastAsia"/>
          <w:bCs/>
          <w:color w:val="auto"/>
          <w:sz w:val="24"/>
          <w:highlight w:val="none"/>
          <w:lang w:val="zh-CN"/>
        </w:rPr>
        <w:t xml:space="preserve">   </w:t>
      </w:r>
      <w:r>
        <w:rPr>
          <w:rFonts w:hint="eastAsia" w:asciiTheme="minorEastAsia" w:hAnsiTheme="minorEastAsia" w:eastAsiaTheme="minorEastAsia"/>
          <w:bCs/>
          <w:color w:val="auto"/>
          <w:sz w:val="24"/>
          <w:highlight w:val="none"/>
          <w:lang w:val="zh-CN"/>
        </w:rPr>
        <w:t>方：</w:t>
      </w:r>
      <w:r>
        <w:rPr>
          <w:rFonts w:hint="eastAsia" w:asciiTheme="minorEastAsia" w:hAnsiTheme="minorEastAsia" w:eastAsiaTheme="minorEastAsia"/>
          <w:bCs/>
          <w:color w:val="auto"/>
          <w:sz w:val="24"/>
          <w:highlight w:val="none"/>
          <w:u w:val="single"/>
          <w:lang w:val="zh-CN"/>
        </w:rPr>
        <w:t xml:space="preserve">    （单位盖章）     </w:t>
      </w:r>
      <w:r>
        <w:rPr>
          <w:rFonts w:hint="eastAsia" w:asciiTheme="minorEastAsia" w:hAnsiTheme="minorEastAsia" w:eastAsiaTheme="minorEastAsia"/>
          <w:bCs/>
          <w:color w:val="auto"/>
          <w:sz w:val="24"/>
          <w:highlight w:val="none"/>
          <w:lang w:val="zh-CN"/>
        </w:rPr>
        <w:t xml:space="preserve">          乙方：</w:t>
      </w:r>
      <w:r>
        <w:rPr>
          <w:rFonts w:hint="eastAsia" w:asciiTheme="minorEastAsia" w:hAnsiTheme="minorEastAsia" w:eastAsiaTheme="minorEastAsia"/>
          <w:bCs/>
          <w:color w:val="auto"/>
          <w:sz w:val="24"/>
          <w:highlight w:val="none"/>
          <w:u w:val="single"/>
          <w:lang w:val="zh-CN"/>
        </w:rPr>
        <w:t xml:space="preserve">    （单位盖章）     </w:t>
      </w:r>
    </w:p>
    <w:p>
      <w:pPr>
        <w:widowControl/>
        <w:spacing w:line="560" w:lineRule="exact"/>
        <w:jc w:val="left"/>
        <w:rPr>
          <w:rFonts w:hint="eastAsia"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               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w:t>
      </w:r>
    </w:p>
    <w:p>
      <w:pPr>
        <w:widowControl/>
        <w:spacing w:line="560" w:lineRule="exact"/>
        <w:jc w:val="left"/>
        <w:rPr>
          <w:rFonts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p>
    <w:p>
      <w:pPr>
        <w:pStyle w:val="76"/>
        <w:rPr>
          <w:color w:val="auto"/>
          <w:highlight w:val="none"/>
        </w:rPr>
      </w:pPr>
    </w:p>
    <w:p>
      <w:pPr>
        <w:widowControl/>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br w:type="page"/>
      </w:r>
    </w:p>
    <w:p>
      <w:pPr>
        <w:spacing w:line="480" w:lineRule="auto"/>
        <w:jc w:val="center"/>
        <w:rPr>
          <w:rFonts w:asciiTheme="minorEastAsia" w:hAnsiTheme="minorEastAsia" w:eastAsiaTheme="minorEastAsia"/>
          <w:b/>
          <w:color w:val="auto"/>
          <w:sz w:val="24"/>
          <w:highlight w:val="none"/>
        </w:rPr>
      </w:pPr>
    </w:p>
    <w:bookmarkEnd w:id="72"/>
    <w:bookmarkEnd w:id="73"/>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第二部分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合同一般条款</w:t>
      </w:r>
    </w:p>
    <w:p>
      <w:pPr>
        <w:spacing w:line="360" w:lineRule="auto"/>
        <w:ind w:firstLine="437"/>
        <w:outlineLvl w:val="3"/>
        <w:rPr>
          <w:rFonts w:asciiTheme="minorEastAsia" w:hAnsiTheme="minorEastAsia" w:eastAsiaTheme="minorEastAsia"/>
          <w:b/>
          <w:bCs/>
          <w:color w:val="auto"/>
          <w:sz w:val="24"/>
          <w:highlight w:val="none"/>
          <w:lang w:val="zh-CN"/>
        </w:rPr>
      </w:pPr>
      <w:bookmarkStart w:id="98" w:name="_Ref467379094"/>
      <w:bookmarkStart w:id="99" w:name="_Ref467379195"/>
      <w:bookmarkStart w:id="100" w:name="_Toc279701240"/>
      <w:bookmarkStart w:id="101" w:name="_Toc487900349"/>
      <w:bookmarkStart w:id="102" w:name="_Toc28763"/>
      <w:bookmarkStart w:id="103" w:name="_Toc19614"/>
      <w:bookmarkStart w:id="104" w:name="_Ref467378463"/>
      <w:bookmarkStart w:id="105" w:name="_Ref467379214"/>
      <w:bookmarkStart w:id="106" w:name="_Toc16917"/>
      <w:bookmarkStart w:id="107" w:name="_Ref467379205"/>
      <w:bookmarkStart w:id="108" w:name="_Ref467379225"/>
      <w:bookmarkStart w:id="109" w:name="_Ref467379109"/>
      <w:bookmarkStart w:id="110" w:name="_Ref467378404"/>
      <w:bookmarkStart w:id="111" w:name="_Ref467379101"/>
      <w:bookmarkStart w:id="112" w:name="_Toc259093669"/>
      <w:bookmarkStart w:id="113" w:name="_Ref467378499"/>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 xml:space="preserve"> 定义</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“合同”系指采购人和</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人签订的载明双方当事人所达成的协议，并包括所有的附件、附录和构成合同的其他文件。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1.2“合同价”系指根据合同约定，</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人的价格。</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“服务”系指成交供应商根据合同约定应向采购人履行的除货物和工程以外的其他政府采购对象，包括采购人自身需要的服务和向社会公众提供的公共服务。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olor w:val="auto"/>
          <w:sz w:val="24"/>
          <w:highlight w:val="none"/>
        </w:rPr>
      </w:pPr>
      <w:bookmarkStart w:id="114" w:name="_Ref46737884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签署合同的采购人</w:t>
      </w:r>
      <w:bookmarkEnd w:id="114"/>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color w:val="auto"/>
          <w:sz w:val="24"/>
          <w:highlight w:val="none"/>
        </w:rPr>
      </w:pPr>
      <w:bookmarkStart w:id="115" w:name="_Ref46737940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“乙方”系指根据合同约定交付货物的</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w:t>
      </w:r>
      <w:bookmarkEnd w:id="115"/>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olor w:val="auto"/>
          <w:sz w:val="24"/>
          <w:highlight w:val="none"/>
        </w:rPr>
      </w:pPr>
      <w:bookmarkStart w:id="116" w:name="_Ref467379436"/>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“现场”系指合同约定货物将要运至</w:t>
      </w:r>
      <w:r>
        <w:rPr>
          <w:rFonts w:hint="eastAsia" w:asciiTheme="minorEastAsia" w:hAnsiTheme="minorEastAsia" w:eastAsiaTheme="minorEastAsia"/>
          <w:color w:val="auto"/>
          <w:sz w:val="24"/>
          <w:highlight w:val="none"/>
        </w:rPr>
        <w:t>或者</w:t>
      </w:r>
      <w:r>
        <w:rPr>
          <w:rFonts w:asciiTheme="minorEastAsia" w:hAnsiTheme="minorEastAsia" w:eastAsiaTheme="minorEastAsia"/>
          <w:color w:val="auto"/>
          <w:sz w:val="24"/>
          <w:highlight w:val="none"/>
        </w:rPr>
        <w:t>安装的地点。</w:t>
      </w:r>
      <w:bookmarkEnd w:id="116"/>
    </w:p>
    <w:p>
      <w:pPr>
        <w:spacing w:line="360" w:lineRule="auto"/>
        <w:ind w:firstLine="437"/>
        <w:outlineLvl w:val="3"/>
        <w:rPr>
          <w:rFonts w:asciiTheme="minorEastAsia" w:hAnsiTheme="minorEastAsia" w:eastAsiaTheme="minorEastAsia"/>
          <w:b/>
          <w:bCs/>
          <w:color w:val="auto"/>
          <w:sz w:val="24"/>
          <w:highlight w:val="none"/>
          <w:lang w:val="zh-CN"/>
        </w:rPr>
      </w:pPr>
      <w:bookmarkStart w:id="117" w:name="_Toc487900350"/>
      <w:bookmarkStart w:id="118" w:name="_Toc32504"/>
      <w:bookmarkStart w:id="119" w:name="_Toc13336"/>
      <w:bookmarkStart w:id="120" w:name="_Toc259093670"/>
      <w:bookmarkStart w:id="121" w:name="_Toc27635"/>
      <w:bookmarkStart w:id="122" w:name="_Toc279701241"/>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2 技术规范</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360" w:lineRule="auto"/>
        <w:ind w:firstLine="437"/>
        <w:outlineLvl w:val="3"/>
        <w:rPr>
          <w:rFonts w:asciiTheme="minorEastAsia" w:hAnsiTheme="minorEastAsia" w:eastAsiaTheme="minorEastAsia"/>
          <w:b/>
          <w:bCs/>
          <w:color w:val="auto"/>
          <w:sz w:val="24"/>
          <w:highlight w:val="none"/>
          <w:lang w:val="zh-CN"/>
        </w:rPr>
      </w:pPr>
      <w:bookmarkStart w:id="123" w:name="_Toc9829"/>
      <w:bookmarkStart w:id="124" w:name="_Toc259093671"/>
      <w:bookmarkStart w:id="125" w:name="_Toc31634"/>
      <w:bookmarkStart w:id="126" w:name="_Toc27853"/>
      <w:bookmarkStart w:id="127" w:name="_Toc487900351"/>
      <w:bookmarkStart w:id="128" w:name="_Toc279701242"/>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3 知识产权</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2.3.1乙</w:t>
      </w:r>
      <w:r>
        <w:rPr>
          <w:rFonts w:asciiTheme="minorEastAsia" w:hAnsiTheme="minorEastAsia" w:eastAsiaTheme="minorEastAsia"/>
          <w:color w:val="auto"/>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2.3.2具有知识产权的计算机软件等货物的知识产权归属，</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29" w:name="_Toc279701245"/>
      <w:bookmarkStart w:id="130" w:name="_Toc259093674"/>
      <w:bookmarkStart w:id="131" w:name="_Ref467379542"/>
      <w:bookmarkStart w:id="132" w:name="_Toc487900354"/>
      <w:bookmarkStart w:id="133" w:name="_Ref467378591"/>
      <w:bookmarkStart w:id="134" w:name="_Ref467379527"/>
      <w:bookmarkStart w:id="135" w:name="_Ref467378541"/>
      <w:bookmarkStart w:id="136" w:name="_Ref467379536"/>
      <w:bookmarkStart w:id="137" w:name="_Toc26182"/>
      <w:bookmarkStart w:id="138" w:name="_Toc30272"/>
      <w:bookmarkStart w:id="139" w:name="_Toc19074"/>
      <w:r>
        <w:rPr>
          <w:rFonts w:hint="eastAsia" w:asciiTheme="minorEastAsia" w:hAnsiTheme="minorEastAsia" w:eastAsiaTheme="minorEastAsia"/>
          <w:b/>
          <w:bCs/>
          <w:color w:val="auto"/>
          <w:sz w:val="24"/>
          <w:highlight w:val="none"/>
          <w:lang w:val="zh-CN"/>
        </w:rPr>
        <w:t>2.</w:t>
      </w:r>
      <w:bookmarkEnd w:id="129"/>
      <w:bookmarkEnd w:id="130"/>
      <w:bookmarkEnd w:id="131"/>
      <w:bookmarkEnd w:id="132"/>
      <w:bookmarkEnd w:id="133"/>
      <w:bookmarkEnd w:id="134"/>
      <w:bookmarkEnd w:id="135"/>
      <w:bookmarkEnd w:id="136"/>
      <w:r>
        <w:rPr>
          <w:rFonts w:hint="eastAsia" w:asciiTheme="minorEastAsia" w:hAnsiTheme="minorEastAsia" w:eastAsiaTheme="minorEastAsia"/>
          <w:b/>
          <w:bCs/>
          <w:color w:val="auto"/>
          <w:sz w:val="24"/>
          <w:highlight w:val="none"/>
          <w:lang w:val="en-US" w:eastAsia="zh-CN"/>
        </w:rPr>
        <w:t>4</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履约检查和问题反馈</w:t>
      </w:r>
      <w:bookmarkEnd w:id="137"/>
      <w:bookmarkEnd w:id="138"/>
      <w:bookmarkEnd w:id="139"/>
    </w:p>
    <w:p>
      <w:pPr>
        <w:spacing w:line="360" w:lineRule="auto"/>
        <w:ind w:firstLine="435"/>
        <w:rPr>
          <w:rFonts w:asciiTheme="minorEastAsia" w:hAnsiTheme="minorEastAsia" w:eastAsiaTheme="minorEastAsia"/>
          <w:color w:val="auto"/>
          <w:sz w:val="24"/>
          <w:highlight w:val="none"/>
        </w:rPr>
      </w:pPr>
      <w:bookmarkStart w:id="140" w:name="_Ref467379657"/>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asciiTheme="minorEastAsia" w:hAnsiTheme="minorEastAsia" w:eastAsiaTheme="minorEastAsia"/>
          <w:color w:val="auto"/>
          <w:sz w:val="24"/>
          <w:highlight w:val="none"/>
        </w:rPr>
        <w:t>.1</w:t>
      </w:r>
      <w:bookmarkEnd w:id="140"/>
      <w:bookmarkStart w:id="141" w:name="_Toc186431854"/>
      <w:bookmarkStart w:id="142" w:name="_Ref467379807"/>
      <w:bookmarkStart w:id="143" w:name="_Toc487900357"/>
      <w:bookmarkStart w:id="144" w:name="_Toc259093676"/>
      <w:bookmarkStart w:id="145" w:name="_Toc279701247"/>
      <w:bookmarkStart w:id="146" w:name="_Ref467379793"/>
      <w:r>
        <w:rPr>
          <w:rFonts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，对乙方是否能够按照合同约定交付</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进行履约检查，以确保乙方所交付的</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能够依约满足甲方项目需求，但不得因履约检查妨碍乙方的正常工作，乙方应予积极配合；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.2合同履行期间，甲方有权将履行过程中出现的问题反馈给乙方，双方当事人应以书面形式约定需要完善和改进的内容</w:t>
      </w:r>
      <w:bookmarkEnd w:id="141"/>
      <w:bookmarkStart w:id="147" w:name="_Toc186431855"/>
      <w:r>
        <w:rPr>
          <w:rFonts w:hint="eastAsia" w:asciiTheme="minorEastAsia" w:hAnsiTheme="minorEastAsia" w:eastAsiaTheme="minorEastAsia"/>
          <w:color w:val="auto"/>
          <w:sz w:val="24"/>
          <w:highlight w:val="none"/>
        </w:rPr>
        <w:t>。</w:t>
      </w:r>
    </w:p>
    <w:bookmarkEnd w:id="147"/>
    <w:p>
      <w:pPr>
        <w:spacing w:line="360" w:lineRule="auto"/>
        <w:ind w:firstLine="437"/>
        <w:outlineLvl w:val="3"/>
        <w:rPr>
          <w:rFonts w:asciiTheme="minorEastAsia" w:hAnsiTheme="minorEastAsia" w:eastAsiaTheme="minorEastAsia"/>
          <w:b/>
          <w:bCs/>
          <w:color w:val="auto"/>
          <w:sz w:val="24"/>
          <w:highlight w:val="none"/>
          <w:lang w:val="zh-CN"/>
        </w:rPr>
      </w:pPr>
      <w:bookmarkStart w:id="148" w:name="_Toc19219"/>
      <w:bookmarkStart w:id="149" w:name="_Toc7836"/>
      <w:bookmarkStart w:id="150" w:name="_Toc28451"/>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结算方式和付款条件</w:t>
      </w:r>
      <w:bookmarkEnd w:id="142"/>
      <w:bookmarkEnd w:id="143"/>
      <w:bookmarkEnd w:id="144"/>
      <w:bookmarkEnd w:id="145"/>
      <w:bookmarkEnd w:id="146"/>
      <w:bookmarkEnd w:id="148"/>
      <w:bookmarkEnd w:id="149"/>
      <w:bookmarkEnd w:id="15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51" w:name="_Ref467379863"/>
      <w:bookmarkStart w:id="152" w:name="_Ref467379852"/>
      <w:bookmarkStart w:id="153" w:name="_Ref467379923"/>
      <w:bookmarkStart w:id="154" w:name="_Toc279701248"/>
      <w:bookmarkStart w:id="155" w:name="_Toc487900358"/>
      <w:bookmarkStart w:id="156" w:name="_Toc259093677"/>
      <w:bookmarkStart w:id="157" w:name="_Toc3225"/>
      <w:bookmarkStart w:id="158" w:name="_Toc774"/>
      <w:bookmarkStart w:id="159" w:name="_Toc16110"/>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技术资料</w:t>
      </w:r>
      <w:bookmarkEnd w:id="151"/>
      <w:bookmarkEnd w:id="152"/>
      <w:bookmarkEnd w:id="153"/>
      <w:bookmarkEnd w:id="154"/>
      <w:bookmarkEnd w:id="155"/>
      <w:bookmarkEnd w:id="156"/>
      <w:r>
        <w:rPr>
          <w:rFonts w:asciiTheme="minorEastAsia" w:hAnsiTheme="minorEastAsia" w:eastAsiaTheme="minorEastAsia"/>
          <w:b/>
          <w:bCs/>
          <w:color w:val="auto"/>
          <w:sz w:val="24"/>
          <w:highlight w:val="none"/>
          <w:lang w:val="zh-CN"/>
        </w:rPr>
        <w:t>和保密义务</w:t>
      </w:r>
      <w:bookmarkEnd w:id="157"/>
      <w:bookmarkEnd w:id="158"/>
      <w:bookmarkEnd w:id="159"/>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.2乙方有义务妥善保管和保护由甲方提供的前款信息和资料等；</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color w:val="auto"/>
          <w:sz w:val="24"/>
          <w:highlight w:val="none"/>
          <w:lang w:val="zh-CN"/>
        </w:rPr>
      </w:pPr>
      <w:bookmarkStart w:id="160" w:name="_Toc7860"/>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7</w:t>
      </w:r>
      <w:r>
        <w:rPr>
          <w:rFonts w:asciiTheme="minorEastAsia" w:hAnsiTheme="minorEastAsia" w:eastAsiaTheme="minorEastAsia"/>
          <w:b/>
          <w:bCs/>
          <w:color w:val="auto"/>
          <w:sz w:val="24"/>
          <w:highlight w:val="none"/>
          <w:lang w:val="zh-CN"/>
        </w:rPr>
        <w:t xml:space="preserve"> 质量保证</w:t>
      </w:r>
      <w:bookmarkEnd w:id="160"/>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color w:val="auto"/>
          <w:sz w:val="24"/>
          <w:highlight w:val="none"/>
          <w:lang w:val="zh-CN"/>
        </w:rPr>
      </w:pPr>
      <w:bookmarkStart w:id="161" w:name="_Toc487900362"/>
      <w:bookmarkStart w:id="162" w:name="_Toc14055"/>
      <w:bookmarkStart w:id="163" w:name="_Toc259093681"/>
      <w:bookmarkStart w:id="164" w:name="_Toc279701252"/>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8</w:t>
      </w:r>
      <w:r>
        <w:rPr>
          <w:rFonts w:asciiTheme="minorEastAsia" w:hAnsiTheme="minorEastAsia" w:eastAsiaTheme="minorEastAsia"/>
          <w:b/>
          <w:bCs/>
          <w:color w:val="auto"/>
          <w:sz w:val="24"/>
          <w:highlight w:val="none"/>
          <w:lang w:val="zh-CN"/>
        </w:rPr>
        <w:t>延迟</w:t>
      </w:r>
      <w:bookmarkEnd w:id="161"/>
      <w:bookmarkEnd w:id="162"/>
      <w:bookmarkEnd w:id="163"/>
      <w:bookmarkEnd w:id="164"/>
      <w:r>
        <w:rPr>
          <w:rFonts w:hint="eastAsia" w:asciiTheme="minorEastAsia" w:hAnsiTheme="minorEastAsia" w:eastAsiaTheme="minorEastAsia"/>
          <w:b/>
          <w:bCs/>
          <w:color w:val="auto"/>
          <w:sz w:val="24"/>
          <w:highlight w:val="none"/>
          <w:lang w:val="zh-CN"/>
        </w:rPr>
        <w:t>履行</w:t>
      </w:r>
    </w:p>
    <w:p>
      <w:pPr>
        <w:spacing w:line="360" w:lineRule="auto"/>
        <w:ind w:firstLine="437"/>
        <w:outlineLvl w:val="3"/>
        <w:rPr>
          <w:rFonts w:hint="eastAsia" w:asciiTheme="minorEastAsia" w:hAnsiTheme="minorEastAsia" w:eastAsiaTheme="minorEastAsia"/>
          <w:color w:val="auto"/>
          <w:sz w:val="24"/>
          <w:highlight w:val="none"/>
        </w:rPr>
      </w:pPr>
      <w:bookmarkStart w:id="165" w:name="_Toc7502"/>
      <w:bookmarkStart w:id="166" w:name="_Toc279701254"/>
      <w:bookmarkStart w:id="167" w:name="_Toc259093683"/>
      <w:bookmarkStart w:id="168" w:name="_Toc487900364"/>
      <w:bookmarkStart w:id="169" w:name="_Ref467378121"/>
      <w:r>
        <w:rPr>
          <w:rFonts w:hint="eastAsia" w:asciiTheme="minorEastAsia" w:hAnsiTheme="minorEastAsia" w:eastAsiaTheme="minorEastAsia"/>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b/>
          <w:bCs/>
          <w:color w:val="auto"/>
          <w:sz w:val="24"/>
          <w:highlight w:val="none"/>
          <w:lang w:val="zh-CN"/>
        </w:rPr>
      </w:pPr>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9</w:t>
      </w:r>
      <w:r>
        <w:rPr>
          <w:rFonts w:asciiTheme="minorEastAsia" w:hAnsiTheme="minorEastAsia" w:eastAsiaTheme="minorEastAsia"/>
          <w:b/>
          <w:bCs/>
          <w:color w:val="auto"/>
          <w:sz w:val="24"/>
          <w:highlight w:val="none"/>
          <w:lang w:val="zh-CN"/>
        </w:rPr>
        <w:t>合同变更</w:t>
      </w:r>
      <w:bookmarkEnd w:id="16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.2合同继续履行将损害国家利益和社会公共利益的，双方当事人应当以书面形式变更合同。有过错的一方应当承担赔偿责任，双方当事人都有过错的，各自承担相应的责任。</w:t>
      </w:r>
      <w:bookmarkStart w:id="170" w:name="_Toc279701259"/>
      <w:bookmarkStart w:id="171" w:name="_Toc259093688"/>
      <w:bookmarkStart w:id="172" w:name="_Toc487900369"/>
    </w:p>
    <w:p>
      <w:pPr>
        <w:spacing w:line="360" w:lineRule="auto"/>
        <w:ind w:firstLine="437"/>
        <w:outlineLvl w:val="3"/>
        <w:rPr>
          <w:rFonts w:asciiTheme="minorEastAsia" w:hAnsiTheme="minorEastAsia" w:eastAsiaTheme="minorEastAsia"/>
          <w:b/>
          <w:bCs/>
          <w:color w:val="auto"/>
          <w:sz w:val="24"/>
          <w:highlight w:val="none"/>
          <w:lang w:val="zh-CN"/>
        </w:rPr>
      </w:pPr>
      <w:bookmarkStart w:id="173" w:name="_Toc22955"/>
      <w:bookmarkStart w:id="174" w:name="_Toc10366"/>
      <w:bookmarkStart w:id="175" w:name="_Toc15237"/>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0</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合同转让</w:t>
      </w:r>
      <w:bookmarkEnd w:id="170"/>
      <w:bookmarkEnd w:id="171"/>
      <w:bookmarkEnd w:id="172"/>
      <w:r>
        <w:rPr>
          <w:rFonts w:asciiTheme="minorEastAsia" w:hAnsiTheme="minorEastAsia" w:eastAsiaTheme="minorEastAsia"/>
          <w:b/>
          <w:bCs/>
          <w:color w:val="auto"/>
          <w:sz w:val="24"/>
          <w:highlight w:val="none"/>
          <w:lang w:val="zh-CN"/>
        </w:rPr>
        <w:t>和分包</w:t>
      </w:r>
      <w:bookmarkEnd w:id="173"/>
      <w:bookmarkEnd w:id="174"/>
      <w:bookmarkEnd w:id="17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76" w:name="_Toc16508"/>
      <w:bookmarkStart w:id="177" w:name="_Toc14066"/>
      <w:bookmarkStart w:id="178" w:name="_Toc135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1</w:t>
      </w:r>
      <w:r>
        <w:rPr>
          <w:rFonts w:asciiTheme="minorEastAsia" w:hAnsiTheme="minorEastAsia" w:eastAsiaTheme="minorEastAsia"/>
          <w:b/>
          <w:bCs/>
          <w:color w:val="auto"/>
          <w:sz w:val="24"/>
          <w:highlight w:val="none"/>
          <w:lang w:val="zh-CN"/>
        </w:rPr>
        <w:t xml:space="preserve"> 不可抗力</w:t>
      </w:r>
      <w:bookmarkEnd w:id="176"/>
      <w:bookmarkEnd w:id="177"/>
      <w:bookmarkEnd w:id="17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.2因不可抗力致使不能实现合同目的的，当事人可以解除合同；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.3因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79" w:name="_Toc6969"/>
      <w:bookmarkStart w:id="180" w:name="_Toc279701255"/>
      <w:bookmarkStart w:id="181" w:name="_Toc259093684"/>
      <w:bookmarkStart w:id="182" w:name="_Toc30676"/>
      <w:bookmarkStart w:id="183" w:name="_Toc689"/>
      <w:bookmarkStart w:id="184" w:name="_Toc487900365"/>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2</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税费</w:t>
      </w:r>
      <w:bookmarkEnd w:id="179"/>
      <w:bookmarkEnd w:id="180"/>
      <w:bookmarkEnd w:id="181"/>
      <w:bookmarkEnd w:id="182"/>
      <w:bookmarkEnd w:id="183"/>
      <w:bookmarkEnd w:id="184"/>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w:t>
      </w:r>
      <w:r>
        <w:rPr>
          <w:rFonts w:hint="eastAsia" w:asciiTheme="minorEastAsia" w:hAnsiTheme="minorEastAsia" w:eastAsiaTheme="minorEastAsia"/>
          <w:color w:val="auto"/>
          <w:sz w:val="24"/>
          <w:highlight w:val="none"/>
        </w:rPr>
        <w:t>缴纳</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85" w:name="_Toc279701258"/>
      <w:bookmarkStart w:id="186" w:name="_Toc16959"/>
      <w:bookmarkStart w:id="187" w:name="_Toc487900368"/>
      <w:bookmarkStart w:id="188" w:name="_Toc259093687"/>
      <w:bookmarkStart w:id="189" w:name="_Toc8298"/>
      <w:bookmarkStart w:id="190" w:name="_Toc7102"/>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3</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乙方破产</w:t>
      </w:r>
      <w:bookmarkEnd w:id="185"/>
      <w:bookmarkEnd w:id="186"/>
      <w:bookmarkEnd w:id="187"/>
      <w:bookmarkEnd w:id="188"/>
      <w:bookmarkEnd w:id="189"/>
      <w:bookmarkEnd w:id="19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color w:val="auto"/>
          <w:sz w:val="24"/>
          <w:highlight w:val="none"/>
        </w:rPr>
      </w:pPr>
      <w:bookmarkStart w:id="191" w:name="_Toc29333"/>
      <w:bookmarkStart w:id="192" w:name="_Toc6134"/>
      <w:bookmarkStart w:id="193" w:name="_Toc15387"/>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4</w:t>
      </w:r>
      <w:r>
        <w:rPr>
          <w:rFonts w:hint="eastAsia" w:asciiTheme="minorEastAsia" w:hAnsiTheme="minorEastAsia" w:eastAsiaTheme="minorEastAsia"/>
          <w:b/>
          <w:bCs/>
          <w:color w:val="auto"/>
          <w:sz w:val="24"/>
          <w:highlight w:val="none"/>
          <w:lang w:val="zh-CN"/>
        </w:rPr>
        <w:t xml:space="preserve"> 合同中止、终止</w:t>
      </w:r>
      <w:bookmarkEnd w:id="191"/>
      <w:bookmarkEnd w:id="192"/>
      <w:bookmarkEnd w:id="19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.1双方当事人不得擅自中止或者终止合同；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94" w:name="_Toc14563"/>
      <w:bookmarkStart w:id="195" w:name="_Toc1125"/>
      <w:bookmarkStart w:id="196" w:name="_Toc659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检验和验收</w:t>
      </w:r>
      <w:bookmarkEnd w:id="194"/>
      <w:bookmarkEnd w:id="195"/>
      <w:bookmarkEnd w:id="196"/>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1乙方按照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的约定，定期提交服务报告，甲方按照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的约定进行定期验收；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.3检验和验收标准、程序等具体内容以及前述验收书的效力详见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66"/>
    <w:bookmarkEnd w:id="167"/>
    <w:bookmarkEnd w:id="168"/>
    <w:bookmarkEnd w:id="169"/>
    <w:p>
      <w:pPr>
        <w:spacing w:line="360" w:lineRule="auto"/>
        <w:ind w:firstLine="437"/>
        <w:outlineLvl w:val="3"/>
        <w:rPr>
          <w:rFonts w:asciiTheme="minorEastAsia" w:hAnsiTheme="minorEastAsia" w:eastAsiaTheme="minorEastAsia"/>
          <w:b/>
          <w:color w:val="auto"/>
          <w:sz w:val="24"/>
          <w:highlight w:val="none"/>
        </w:rPr>
      </w:pPr>
      <w:bookmarkStart w:id="197" w:name="_Toc30599"/>
      <w:bookmarkStart w:id="198" w:name="_Toc259093691"/>
      <w:bookmarkStart w:id="199" w:name="_Toc4355"/>
      <w:bookmarkStart w:id="200" w:name="_Toc18540"/>
      <w:bookmarkStart w:id="201" w:name="_Toc487900372"/>
      <w:bookmarkStart w:id="202" w:name="_Toc279701262"/>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计量单位</w:t>
      </w:r>
      <w:bookmarkEnd w:id="197"/>
      <w:bookmarkEnd w:id="198"/>
      <w:bookmarkEnd w:id="199"/>
      <w:bookmarkEnd w:id="200"/>
      <w:bookmarkEnd w:id="201"/>
      <w:bookmarkEnd w:id="20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color w:val="auto"/>
          <w:sz w:val="24"/>
          <w:highlight w:val="none"/>
        </w:rPr>
      </w:pPr>
      <w:bookmarkStart w:id="203" w:name="_Toc487900373"/>
      <w:bookmarkStart w:id="204" w:name="_Toc279701263"/>
      <w:bookmarkStart w:id="205" w:name="_Toc18567"/>
      <w:bookmarkStart w:id="206" w:name="_Toc10330"/>
      <w:bookmarkStart w:id="207" w:name="_Toc259093692"/>
      <w:bookmarkStart w:id="208" w:name="_Toc12773"/>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lang w:val="en-US" w:eastAsia="zh-CN"/>
        </w:rPr>
        <w:t>7</w:t>
      </w:r>
      <w:r>
        <w:rPr>
          <w:rFonts w:hint="eastAsia"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lang w:val="zh-CN"/>
        </w:rPr>
        <w:t>合同使用的文字和</w:t>
      </w:r>
      <w:r>
        <w:rPr>
          <w:rFonts w:asciiTheme="minorEastAsia" w:hAnsiTheme="minorEastAsia" w:eastAsiaTheme="minorEastAsia"/>
          <w:b/>
          <w:bCs/>
          <w:color w:val="auto"/>
          <w:sz w:val="24"/>
          <w:highlight w:val="none"/>
          <w:lang w:val="zh-CN"/>
        </w:rPr>
        <w:t>适用的法律</w:t>
      </w:r>
      <w:bookmarkEnd w:id="203"/>
      <w:bookmarkEnd w:id="204"/>
      <w:bookmarkEnd w:id="205"/>
      <w:bookmarkEnd w:id="206"/>
      <w:bookmarkEnd w:id="207"/>
      <w:bookmarkEnd w:id="20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asciiTheme="minorEastAsia" w:hAnsiTheme="minorEastAsia" w:eastAsiaTheme="minorEastAsia"/>
          <w:color w:val="auto"/>
          <w:sz w:val="24"/>
          <w:highlight w:val="none"/>
        </w:rPr>
        <w:t>.1合同使用汉语</w:t>
      </w:r>
      <w:r>
        <w:rPr>
          <w:rFonts w:hint="eastAsia" w:asciiTheme="minorEastAsia" w:hAnsiTheme="minorEastAsia" w:eastAsiaTheme="minorEastAsia"/>
          <w:color w:val="auto"/>
          <w:sz w:val="24"/>
          <w:highlight w:val="none"/>
          <w:lang w:eastAsia="zh-CN"/>
        </w:rPr>
        <w:t>书写</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.2合同适用</w:t>
      </w:r>
      <w:r>
        <w:rPr>
          <w:rFonts w:asciiTheme="minorEastAsia" w:hAnsiTheme="minorEastAsia" w:eastAsiaTheme="minorEastAsia"/>
          <w:color w:val="auto"/>
          <w:sz w:val="24"/>
          <w:highlight w:val="none"/>
        </w:rPr>
        <w:t>中华人民共和国法律。</w:t>
      </w:r>
    </w:p>
    <w:p>
      <w:pPr>
        <w:spacing w:line="360" w:lineRule="auto"/>
        <w:ind w:firstLine="437"/>
        <w:outlineLvl w:val="3"/>
        <w:rPr>
          <w:rFonts w:asciiTheme="minorEastAsia" w:hAnsiTheme="minorEastAsia" w:eastAsiaTheme="minorEastAsia"/>
          <w:b/>
          <w:color w:val="auto"/>
          <w:sz w:val="24"/>
          <w:highlight w:val="none"/>
        </w:rPr>
      </w:pPr>
      <w:bookmarkStart w:id="209" w:name="_Toc279701264"/>
      <w:bookmarkStart w:id="210" w:name="_Toc3148"/>
      <w:bookmarkStart w:id="211" w:name="_Toc12004"/>
      <w:bookmarkStart w:id="212" w:name="_Toc16673"/>
      <w:bookmarkStart w:id="213" w:name="_Toc259093693"/>
      <w:bookmarkStart w:id="214" w:name="_Toc4879003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18</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履约保证金</w:t>
      </w:r>
      <w:bookmarkEnd w:id="209"/>
      <w:bookmarkEnd w:id="210"/>
      <w:bookmarkEnd w:id="211"/>
      <w:bookmarkEnd w:id="212"/>
      <w:bookmarkEnd w:id="21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.1采购文件要求乙方提交履约保证金的，乙方</w:t>
      </w:r>
      <w:r>
        <w:rPr>
          <w:rFonts w:asciiTheme="minorEastAsia" w:hAnsiTheme="minorEastAsia" w:eastAsiaTheme="minorEastAsia"/>
          <w:color w:val="auto"/>
          <w:sz w:val="24"/>
          <w:highlight w:val="none"/>
        </w:rPr>
        <w:t>应按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约定的方式</w:t>
      </w:r>
      <w:r>
        <w:rPr>
          <w:rFonts w:hint="eastAsia" w:asciiTheme="minorEastAsia" w:hAnsiTheme="minorEastAsia" w:eastAsiaTheme="minorEastAsia"/>
          <w:color w:val="auto"/>
          <w:sz w:val="24"/>
          <w:highlight w:val="none"/>
        </w:rPr>
        <w:t>，以支票、汇票、本票或者金融机构、担保机构出具的保函等非现金形式，提交不超过合同价</w:t>
      </w:r>
      <w:r>
        <w:rPr>
          <w:rFonts w:hint="eastAsia" w:asciiTheme="minorEastAsia" w:hAnsiTheme="minorEastAsia" w:eastAsiaTheme="minorEastAsia"/>
          <w:color w:val="auto"/>
          <w:sz w:val="24"/>
          <w:highlight w:val="none"/>
          <w:lang w:val="en-US" w:eastAsia="zh-CN"/>
        </w:rPr>
        <w:t>2.5</w:t>
      </w:r>
      <w:r>
        <w:rPr>
          <w:rFonts w:hint="eastAsia" w:asciiTheme="minorEastAsia" w:hAnsiTheme="minorEastAsia" w:eastAsiaTheme="minorEastAsia"/>
          <w:color w:val="auto"/>
          <w:sz w:val="24"/>
          <w:highlight w:val="none"/>
        </w:rPr>
        <w:t>%的履约保证金；</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asciiTheme="minorEastAsia" w:hAnsiTheme="minorEastAsia" w:eastAsiaTheme="minorEastAsia"/>
          <w:color w:val="auto"/>
          <w:sz w:val="24"/>
          <w:highlight w:val="none"/>
        </w:rPr>
        <w:t>.2履约保证金</w:t>
      </w:r>
      <w:r>
        <w:rPr>
          <w:rFonts w:hint="eastAsia" w:asciiTheme="minorEastAsia" w:hAnsiTheme="minorEastAsia" w:eastAsiaTheme="minorEastAsia"/>
          <w:color w:val="auto"/>
          <w:sz w:val="24"/>
          <w:highlight w:val="none"/>
          <w:lang w:val="en-US" w:eastAsia="zh-CN"/>
        </w:rPr>
        <w:t>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w:t>
      </w:r>
      <w:r>
        <w:rPr>
          <w:rFonts w:hint="eastAsia" w:asciiTheme="minorEastAsia" w:hAnsiTheme="minorEastAsia" w:eastAsiaTheme="minorEastAsia"/>
          <w:color w:val="auto"/>
          <w:sz w:val="24"/>
          <w:highlight w:val="none"/>
          <w:lang w:val="en-US" w:eastAsia="zh-CN"/>
        </w:rPr>
        <w:t>的时间</w:t>
      </w:r>
      <w:r>
        <w:rPr>
          <w:rFonts w:asciiTheme="minorEastAsia" w:hAnsiTheme="minorEastAsia" w:eastAsiaTheme="minorEastAsia"/>
          <w:color w:val="auto"/>
          <w:sz w:val="24"/>
          <w:highlight w:val="none"/>
        </w:rPr>
        <w:t>退还乙方</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如果乙方不履行合同</w:t>
      </w:r>
      <w:r>
        <w:rPr>
          <w:rFonts w:hint="eastAsia" w:asciiTheme="minorEastAsia" w:hAnsiTheme="minorEastAsia" w:eastAsiaTheme="minorEastAsia"/>
          <w:color w:val="auto"/>
          <w:sz w:val="24"/>
          <w:highlight w:val="none"/>
        </w:rPr>
        <w:t>，履约保证金不予退还；如果乙方</w:t>
      </w:r>
      <w:r>
        <w:rPr>
          <w:rFonts w:asciiTheme="minorEastAsia" w:hAnsiTheme="minorEastAsia" w:eastAsiaTheme="minorEastAsia"/>
          <w:color w:val="auto"/>
          <w:sz w:val="24"/>
          <w:highlight w:val="none"/>
        </w:rPr>
        <w:t>未能按合同</w:t>
      </w:r>
      <w:r>
        <w:rPr>
          <w:rFonts w:hint="eastAsia" w:asciiTheme="minorEastAsia" w:hAnsiTheme="minorEastAsia" w:eastAsiaTheme="minorEastAsia"/>
          <w:color w:val="auto"/>
          <w:sz w:val="24"/>
          <w:highlight w:val="none"/>
        </w:rPr>
        <w:t>约</w:t>
      </w:r>
      <w:r>
        <w:rPr>
          <w:rFonts w:asciiTheme="minorEastAsia" w:hAnsiTheme="minorEastAsia" w:eastAsiaTheme="minorEastAsia"/>
          <w:color w:val="auto"/>
          <w:sz w:val="24"/>
          <w:highlight w:val="none"/>
        </w:rPr>
        <w:t>定全面履行义务，那么甲方有权从履约保证金中取得补偿或赔偿</w:t>
      </w:r>
      <w:r>
        <w:rPr>
          <w:rFonts w:hint="eastAsia" w:asciiTheme="minorEastAsia" w:hAnsiTheme="minorEastAsia" w:eastAsiaTheme="minorEastAsia"/>
          <w:color w:val="auto"/>
          <w:sz w:val="24"/>
          <w:highlight w:val="none"/>
        </w:rPr>
        <w:t>，同时不影响甲方要求乙方承担合同约定的超过履约保证金的违约责任的权利。</w:t>
      </w:r>
    </w:p>
    <w:bookmarkEnd w:id="214"/>
    <w:p>
      <w:pPr>
        <w:spacing w:line="360" w:lineRule="auto"/>
        <w:ind w:firstLine="437"/>
        <w:outlineLvl w:val="3"/>
        <w:rPr>
          <w:rFonts w:asciiTheme="minorEastAsia" w:hAnsiTheme="minorEastAsia" w:eastAsiaTheme="minorEastAsia"/>
          <w:b/>
          <w:color w:val="auto"/>
          <w:sz w:val="24"/>
          <w:highlight w:val="none"/>
        </w:rPr>
      </w:pPr>
      <w:bookmarkStart w:id="215" w:name="_Toc6885"/>
      <w:bookmarkStart w:id="216" w:name="_Toc19890"/>
      <w:bookmarkStart w:id="217" w:name="_Toc14001"/>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19</w:t>
      </w:r>
      <w:r>
        <w:rPr>
          <w:rFonts w:hint="eastAsia" w:asciiTheme="minorEastAsia" w:hAnsiTheme="minorEastAsia" w:eastAsiaTheme="minorEastAsia"/>
          <w:b/>
          <w:bCs/>
          <w:color w:val="auto"/>
          <w:sz w:val="24"/>
          <w:highlight w:val="none"/>
          <w:lang w:val="zh-CN"/>
        </w:rPr>
        <w:t xml:space="preserve"> 合同份数</w:t>
      </w:r>
      <w:bookmarkEnd w:id="215"/>
      <w:bookmarkEnd w:id="216"/>
      <w:bookmarkEnd w:id="21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2"/>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r>
        <w:rPr>
          <w:rFonts w:hint="eastAsia" w:asciiTheme="minorEastAsia" w:hAnsiTheme="minorEastAsia" w:eastAsiaTheme="minorEastAsia"/>
          <w:b/>
          <w:color w:val="auto"/>
          <w:sz w:val="24"/>
          <w:highlight w:val="none"/>
        </w:rPr>
        <w:t>第三部分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合同专用条款</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w:t>
      </w:r>
      <w:r>
        <w:rPr>
          <w:rFonts w:asciiTheme="minorEastAsia" w:hAnsiTheme="minorEastAsia" w:eastAsiaTheme="minorEastAsia"/>
          <w:color w:val="auto"/>
          <w:sz w:val="24"/>
          <w:highlight w:val="none"/>
        </w:rPr>
        <w:t>是对</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部分的补充和修改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部分和本部分的约定不一致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应以本部分的约定为准</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本部分的条款号应与</w:t>
      </w:r>
      <w:r>
        <w:rPr>
          <w:rFonts w:hint="eastAsia" w:asciiTheme="minorEastAsia" w:hAnsiTheme="minorEastAsia" w:eastAsiaTheme="minorEastAsia"/>
          <w:color w:val="auto"/>
          <w:sz w:val="24"/>
          <w:highlight w:val="none"/>
        </w:rPr>
        <w:t>前两部分</w:t>
      </w:r>
      <w:r>
        <w:rPr>
          <w:rFonts w:asciiTheme="minorEastAsia" w:hAnsiTheme="minorEastAsia" w:eastAsiaTheme="minorEastAsia"/>
          <w:color w:val="auto"/>
          <w:sz w:val="24"/>
          <w:highlight w:val="none"/>
        </w:rPr>
        <w:t>的条款号保持对应</w:t>
      </w:r>
      <w:r>
        <w:rPr>
          <w:rFonts w:hint="eastAsia" w:asciiTheme="minorEastAsia" w:hAnsiTheme="minorEastAsia" w:eastAsiaTheme="minorEastAsia"/>
          <w:color w:val="auto"/>
          <w:sz w:val="24"/>
          <w:highlight w:val="none"/>
        </w:rPr>
        <w:t>；与前两部分</w:t>
      </w:r>
      <w:r>
        <w:rPr>
          <w:rFonts w:asciiTheme="minorEastAsia" w:hAnsiTheme="minorEastAsia" w:eastAsiaTheme="minorEastAsia"/>
          <w:color w:val="auto"/>
          <w:sz w:val="24"/>
          <w:highlight w:val="none"/>
        </w:rPr>
        <w:t>无对应关系的内容可另行编制条款号</w:t>
      </w:r>
      <w:r>
        <w:rPr>
          <w:rFonts w:hint="eastAsia" w:asciiTheme="minorEastAsia" w:hAnsiTheme="minorEastAsia" w:eastAsiaTheme="minorEastAsia"/>
          <w:color w:val="auto"/>
          <w:sz w:val="24"/>
          <w:highlight w:val="none"/>
        </w:rPr>
        <w:t>。</w:t>
      </w:r>
    </w:p>
    <w:tbl>
      <w:tblPr>
        <w:tblStyle w:val="62"/>
        <w:tblW w:w="91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7"/>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67" w:type="dxa"/>
            <w:tcBorders>
              <w:left w:val="single" w:color="auto" w:sz="4" w:space="0"/>
            </w:tcBorders>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条款号</w:t>
            </w:r>
          </w:p>
        </w:tc>
        <w:tc>
          <w:tcPr>
            <w:tcW w:w="8259" w:type="dxa"/>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2.6</w:t>
            </w:r>
          </w:p>
        </w:tc>
        <w:tc>
          <w:tcPr>
            <w:tcW w:w="8259" w:type="dxa"/>
            <w:vAlign w:val="center"/>
          </w:tcPr>
          <w:p>
            <w:pPr>
              <w:spacing w:line="360" w:lineRule="auto"/>
              <w:outlineLvl w:val="3"/>
              <w:rPr>
                <w:rFonts w:hint="default"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结算方式和付款条件</w:t>
            </w:r>
            <w:r>
              <w:rPr>
                <w:rFonts w:hint="eastAsia" w:asciiTheme="minorEastAsia" w:hAnsiTheme="minorEastAsia" w:eastAsiaTheme="minorEastAsia"/>
                <w:b/>
                <w:bCs/>
                <w:color w:val="auto"/>
                <w:sz w:val="24"/>
                <w:highlight w:val="none"/>
                <w:lang w:val="zh-CN"/>
              </w:rPr>
              <w:t>：</w:t>
            </w:r>
            <w:r>
              <w:rPr>
                <w:rFonts w:hint="eastAsia" w:asciiTheme="minorEastAsia" w:hAnsiTheme="minorEastAsia" w:eastAsiaTheme="minorEastAsia"/>
                <w:b/>
                <w:bCs/>
                <w:color w:val="auto"/>
                <w:sz w:val="24"/>
                <w:highlight w:val="none"/>
                <w:lang w:val="en-US" w:eastAsia="zh-CN"/>
              </w:rPr>
              <w:t>每季度据实结算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2.17</w:t>
            </w:r>
          </w:p>
        </w:tc>
        <w:tc>
          <w:tcPr>
            <w:tcW w:w="8259" w:type="dxa"/>
            <w:vAlign w:val="center"/>
          </w:tcPr>
          <w:p>
            <w:pPr>
              <w:spacing w:line="360" w:lineRule="auto"/>
              <w:outlineLvl w:val="3"/>
              <w:rPr>
                <w:rFonts w:hint="eastAsia"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zh-CN"/>
              </w:rPr>
              <w:t>检验和验收：</w:t>
            </w:r>
            <w:r>
              <w:rPr>
                <w:rFonts w:hint="eastAsia" w:asciiTheme="minorEastAsia" w:hAnsiTheme="minorEastAsia" w:eastAsiaTheme="minorEastAsia"/>
                <w:b/>
                <w:bCs/>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2.20</w:t>
            </w:r>
          </w:p>
        </w:tc>
        <w:tc>
          <w:tcPr>
            <w:tcW w:w="8259" w:type="dxa"/>
            <w:vAlign w:val="center"/>
          </w:tcPr>
          <w:p>
            <w:pPr>
              <w:spacing w:line="560" w:lineRule="exact"/>
              <w:rPr>
                <w:rFonts w:hint="eastAsia"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履约保证金</w:t>
            </w:r>
            <w:r>
              <w:rPr>
                <w:rFonts w:hint="eastAsia" w:asciiTheme="minorEastAsia" w:hAnsiTheme="minorEastAsia" w:eastAsiaTheme="minorEastAsia"/>
                <w:b/>
                <w:bCs/>
                <w:color w:val="auto"/>
                <w:sz w:val="24"/>
                <w:highlight w:val="none"/>
                <w:lang w:val="zh-CN"/>
              </w:rPr>
              <w:t>：</w:t>
            </w:r>
            <w:r>
              <w:rPr>
                <w:rFonts w:hint="eastAsia" w:asciiTheme="minorEastAsia" w:hAnsiTheme="minorEastAsia" w:eastAsiaTheme="minorEastAsia"/>
                <w:b/>
                <w:bCs/>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c>
          <w:tcPr>
            <w:tcW w:w="8259" w:type="dxa"/>
            <w:vAlign w:val="center"/>
          </w:tcPr>
          <w:p>
            <w:pPr>
              <w:spacing w:line="560" w:lineRule="exact"/>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bl>
    <w:p>
      <w:pPr>
        <w:rPr>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tabs>
          <w:tab w:val="left" w:pos="3640"/>
        </w:tabs>
        <w:autoSpaceDE w:val="0"/>
        <w:autoSpaceDN w:val="0"/>
        <w:spacing w:line="480" w:lineRule="auto"/>
        <w:ind w:firstLine="480" w:firstLineChars="200"/>
        <w:rPr>
          <w:rFonts w:ascii="宋体" w:cs="宋体"/>
          <w:color w:val="auto"/>
          <w:highlight w:val="none"/>
        </w:rPr>
      </w:pPr>
      <w:r>
        <w:rPr>
          <w:rFonts w:asciiTheme="minorEastAsia" w:hAnsiTheme="minorEastAsia" w:eastAsiaTheme="minorEastAsia"/>
          <w:color w:val="auto"/>
          <w:sz w:val="24"/>
          <w:highlight w:val="none"/>
        </w:rPr>
        <w:br w:type="page"/>
      </w:r>
    </w:p>
    <w:p>
      <w:pPr>
        <w:pStyle w:val="3"/>
        <w:spacing w:before="62" w:beforeLines="20" w:after="62" w:afterLines="20" w:line="480" w:lineRule="exact"/>
        <w:ind w:firstLine="0" w:firstLineChars="0"/>
        <w:jc w:val="center"/>
        <w:rPr>
          <w:rFonts w:ascii="Arial" w:hAnsi="Arial"/>
          <w:color w:val="auto"/>
          <w:kern w:val="2"/>
          <w:sz w:val="36"/>
          <w:szCs w:val="36"/>
          <w:highlight w:val="none"/>
        </w:rPr>
      </w:pPr>
      <w:bookmarkStart w:id="218" w:name="_Toc1812"/>
      <w:bookmarkStart w:id="219" w:name="_Toc8981"/>
      <w:bookmarkStart w:id="220" w:name="_Toc439316880"/>
      <w:bookmarkStart w:id="221" w:name="_Toc54941341"/>
      <w:r>
        <w:rPr>
          <w:rFonts w:hint="eastAsia" w:ascii="Arial" w:hAnsi="Arial"/>
          <w:color w:val="auto"/>
          <w:kern w:val="2"/>
          <w:sz w:val="36"/>
          <w:szCs w:val="36"/>
          <w:highlight w:val="none"/>
          <w:lang w:val="zh-CN"/>
        </w:rPr>
        <w:t>第</w:t>
      </w:r>
      <w:r>
        <w:rPr>
          <w:rFonts w:hint="eastAsia" w:ascii="Arial" w:hAnsi="Arial"/>
          <w:color w:val="auto"/>
          <w:kern w:val="2"/>
          <w:sz w:val="36"/>
          <w:szCs w:val="36"/>
          <w:highlight w:val="none"/>
          <w:lang w:val="en-US" w:eastAsia="zh-CN"/>
        </w:rPr>
        <w:t>六</w:t>
      </w:r>
      <w:r>
        <w:rPr>
          <w:rFonts w:hint="eastAsia" w:ascii="Arial" w:hAnsi="Arial"/>
          <w:color w:val="auto"/>
          <w:kern w:val="2"/>
          <w:sz w:val="36"/>
          <w:szCs w:val="36"/>
          <w:highlight w:val="none"/>
          <w:lang w:val="zh-CN"/>
        </w:rPr>
        <w:t>章</w:t>
      </w:r>
      <w:r>
        <w:rPr>
          <w:rFonts w:ascii="Arial" w:hAnsi="Arial"/>
          <w:color w:val="auto"/>
          <w:kern w:val="2"/>
          <w:sz w:val="36"/>
          <w:szCs w:val="36"/>
          <w:highlight w:val="none"/>
          <w:lang w:val="zh-CN"/>
        </w:rPr>
        <w:t xml:space="preserve">  </w:t>
      </w:r>
      <w:bookmarkStart w:id="222" w:name="_Toc417656001"/>
      <w:r>
        <w:rPr>
          <w:rFonts w:hint="eastAsia" w:ascii="Arial" w:hAnsi="Arial"/>
          <w:color w:val="auto"/>
          <w:kern w:val="2"/>
          <w:sz w:val="36"/>
          <w:szCs w:val="36"/>
          <w:highlight w:val="none"/>
        </w:rPr>
        <w:t>响应文件格式</w:t>
      </w:r>
      <w:bookmarkEnd w:id="218"/>
      <w:bookmarkEnd w:id="219"/>
      <w:bookmarkEnd w:id="220"/>
      <w:bookmarkEnd w:id="221"/>
      <w:bookmarkEnd w:id="222"/>
    </w:p>
    <w:p>
      <w:pPr>
        <w:spacing w:line="360" w:lineRule="auto"/>
        <w:jc w:val="center"/>
        <w:rPr>
          <w:rFonts w:ascii="仿宋" w:hAnsi="仿宋" w:eastAsia="仿宋"/>
          <w:b/>
          <w:color w:val="auto"/>
          <w:spacing w:val="20"/>
          <w:sz w:val="36"/>
          <w:szCs w:val="36"/>
          <w:highlight w:val="none"/>
          <w:u w:val="single"/>
        </w:rPr>
      </w:pPr>
    </w:p>
    <w:p>
      <w:pPr>
        <w:spacing w:line="360" w:lineRule="auto"/>
        <w:jc w:val="center"/>
        <w:rPr>
          <w:rFonts w:ascii="仿宋" w:hAnsi="仿宋" w:eastAsia="仿宋"/>
          <w:b/>
          <w:color w:val="auto"/>
          <w:spacing w:val="20"/>
          <w:sz w:val="36"/>
          <w:szCs w:val="36"/>
          <w:highlight w:val="none"/>
        </w:rPr>
      </w:pPr>
      <w:r>
        <w:rPr>
          <w:rFonts w:ascii="仿宋" w:hAnsi="仿宋" w:eastAsia="仿宋"/>
          <w:b/>
          <w:color w:val="auto"/>
          <w:spacing w:val="20"/>
          <w:sz w:val="36"/>
          <w:szCs w:val="36"/>
          <w:highlight w:val="none"/>
          <w:u w:val="single"/>
        </w:rPr>
        <w:t xml:space="preserve">                              </w:t>
      </w:r>
      <w:r>
        <w:rPr>
          <w:rFonts w:hint="eastAsia" w:ascii="仿宋" w:hAnsi="仿宋" w:eastAsia="仿宋"/>
          <w:b/>
          <w:color w:val="auto"/>
          <w:spacing w:val="20"/>
          <w:sz w:val="36"/>
          <w:szCs w:val="36"/>
          <w:highlight w:val="none"/>
        </w:rPr>
        <w:t>项目</w:t>
      </w: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响</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应</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480" w:lineRule="auto"/>
        <w:jc w:val="center"/>
        <w:rPr>
          <w:rFonts w:ascii="宋体"/>
          <w:b/>
          <w:color w:val="auto"/>
          <w:sz w:val="72"/>
          <w:szCs w:val="72"/>
          <w:highlight w:val="none"/>
        </w:rPr>
      </w:pPr>
    </w:p>
    <w:p>
      <w:pPr>
        <w:spacing w:line="480" w:lineRule="auto"/>
        <w:jc w:val="center"/>
        <w:rPr>
          <w:rFonts w:ascii="宋体"/>
          <w:b/>
          <w:color w:val="auto"/>
          <w:sz w:val="72"/>
          <w:szCs w:val="72"/>
          <w:highlight w:val="none"/>
        </w:rPr>
      </w:pPr>
      <w:r>
        <w:rPr>
          <w:rFonts w:hint="eastAsia" w:ascii="宋体" w:hAnsi="宋体"/>
          <w:b/>
          <w:color w:val="auto"/>
          <w:sz w:val="72"/>
          <w:szCs w:val="72"/>
          <w:highlight w:val="none"/>
        </w:rPr>
        <w:t>件</w:t>
      </w:r>
    </w:p>
    <w:p>
      <w:pPr>
        <w:pStyle w:val="76"/>
        <w:ind w:left="0" w:leftChars="0" w:firstLine="0" w:firstLineChars="0"/>
        <w:rPr>
          <w:rFonts w:ascii="宋体"/>
          <w:color w:val="auto"/>
          <w:sz w:val="24"/>
          <w:highlight w:val="none"/>
        </w:rPr>
      </w:pPr>
    </w:p>
    <w:p>
      <w:pPr>
        <w:spacing w:line="360" w:lineRule="auto"/>
        <w:rPr>
          <w:rFonts w:ascii="宋体"/>
          <w:color w:val="auto"/>
          <w:sz w:val="24"/>
          <w:highlight w:val="none"/>
        </w:rPr>
      </w:pPr>
    </w:p>
    <w:p>
      <w:pPr>
        <w:spacing w:line="360" w:lineRule="auto"/>
        <w:ind w:firstLine="148" w:firstLineChars="49"/>
        <w:rPr>
          <w:rFonts w:ascii="宋体"/>
          <w:b/>
          <w:color w:val="auto"/>
          <w:sz w:val="30"/>
          <w:szCs w:val="30"/>
          <w:highlight w:val="none"/>
        </w:rPr>
      </w:pPr>
      <w:r>
        <w:rPr>
          <w:rFonts w:hint="eastAsia" w:ascii="宋体" w:hAnsi="宋体"/>
          <w:b/>
          <w:color w:val="auto"/>
          <w:sz w:val="30"/>
          <w:szCs w:val="30"/>
          <w:highlight w:val="none"/>
          <w:lang w:val="en-US" w:eastAsia="zh-CN"/>
        </w:rPr>
        <w:t>供应商</w:t>
      </w:r>
      <w:r>
        <w:rPr>
          <w:rFonts w:hint="eastAsia" w:ascii="宋体" w:hAnsi="宋体"/>
          <w:b/>
          <w:color w:val="auto"/>
          <w:sz w:val="30"/>
          <w:szCs w:val="30"/>
          <w:highlight w:val="none"/>
        </w:rPr>
        <w:t>名称：</w:t>
      </w:r>
      <w:r>
        <w:rPr>
          <w:rFonts w:ascii="宋体" w:hAnsi="宋体"/>
          <w:b/>
          <w:color w:val="auto"/>
          <w:sz w:val="30"/>
          <w:szCs w:val="30"/>
          <w:highlight w:val="none"/>
        </w:rPr>
        <w:t xml:space="preserve"> </w:t>
      </w:r>
      <w:r>
        <w:rPr>
          <w:rFonts w:ascii="宋体" w:hAnsi="宋体"/>
          <w:b/>
          <w:color w:val="auto"/>
          <w:sz w:val="30"/>
          <w:szCs w:val="30"/>
          <w:highlight w:val="none"/>
          <w:u w:val="single"/>
        </w:rPr>
        <w:t xml:space="preserve">                                    </w:t>
      </w:r>
      <w:r>
        <w:rPr>
          <w:rFonts w:hint="eastAsia" w:ascii="宋体" w:hAnsi="宋体"/>
          <w:b/>
          <w:color w:val="auto"/>
          <w:sz w:val="30"/>
          <w:szCs w:val="30"/>
          <w:highlight w:val="none"/>
          <w:u w:val="single"/>
          <w:lang w:eastAsia="zh-CN"/>
        </w:rPr>
        <w:t>（</w:t>
      </w:r>
      <w:r>
        <w:rPr>
          <w:rFonts w:hint="eastAsia" w:ascii="宋体" w:hAnsi="宋体"/>
          <w:b/>
          <w:color w:val="auto"/>
          <w:sz w:val="30"/>
          <w:szCs w:val="30"/>
          <w:highlight w:val="none"/>
          <w:u w:val="single"/>
          <w:lang w:val="en-US" w:eastAsia="zh-CN"/>
        </w:rPr>
        <w:t>盖 章</w:t>
      </w:r>
      <w:r>
        <w:rPr>
          <w:rFonts w:hint="eastAsia" w:ascii="宋体" w:hAnsi="宋体"/>
          <w:b/>
          <w:color w:val="auto"/>
          <w:sz w:val="30"/>
          <w:szCs w:val="30"/>
          <w:highlight w:val="none"/>
          <w:u w:val="single"/>
          <w:lang w:eastAsia="zh-CN"/>
        </w:rPr>
        <w:t>）</w:t>
      </w:r>
      <w:r>
        <w:rPr>
          <w:rFonts w:ascii="宋体" w:hAnsi="宋体"/>
          <w:b/>
          <w:color w:val="auto"/>
          <w:sz w:val="30"/>
          <w:szCs w:val="30"/>
          <w:highlight w:val="none"/>
          <w:u w:val="single"/>
        </w:rPr>
        <w:t xml:space="preserve">       </w:t>
      </w:r>
    </w:p>
    <w:p>
      <w:pPr>
        <w:spacing w:line="360" w:lineRule="auto"/>
        <w:rPr>
          <w:rFonts w:ascii="仿宋_GB2312" w:eastAsia="仿宋_GB2312"/>
          <w:color w:val="auto"/>
          <w:sz w:val="30"/>
          <w:szCs w:val="30"/>
          <w:highlight w:val="none"/>
        </w:rPr>
      </w:pPr>
    </w:p>
    <w:p>
      <w:pPr>
        <w:spacing w:line="480" w:lineRule="exact"/>
        <w:jc w:val="center"/>
        <w:rPr>
          <w:rFonts w:ascii="宋体" w:hAnsi="宋体"/>
          <w:b/>
          <w:color w:val="auto"/>
          <w:sz w:val="30"/>
          <w:szCs w:val="30"/>
          <w:highlight w:val="none"/>
        </w:rPr>
      </w:pPr>
      <w:r>
        <w:rPr>
          <w:rFonts w:hint="eastAsia" w:ascii="宋体" w:hAnsi="宋体"/>
          <w:b/>
          <w:color w:val="auto"/>
          <w:sz w:val="30"/>
          <w:szCs w:val="30"/>
          <w:highlight w:val="none"/>
        </w:rPr>
        <w:t>日期：</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年</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月</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日</w:t>
      </w:r>
    </w:p>
    <w:p>
      <w:pPr>
        <w:spacing w:line="480" w:lineRule="exact"/>
        <w:jc w:val="center"/>
        <w:rPr>
          <w:rFonts w:ascii="宋体" w:hAnsi="宋体"/>
          <w:b/>
          <w:color w:val="auto"/>
          <w:sz w:val="30"/>
          <w:szCs w:val="30"/>
          <w:highlight w:val="none"/>
        </w:rPr>
      </w:pPr>
    </w:p>
    <w:p>
      <w:pPr>
        <w:spacing w:line="480" w:lineRule="exact"/>
        <w:rPr>
          <w:rFonts w:ascii="黑体" w:eastAsia="黑体"/>
          <w:b/>
          <w:bCs/>
          <w:color w:val="auto"/>
          <w:szCs w:val="21"/>
          <w:highlight w:val="none"/>
        </w:rPr>
      </w:pPr>
    </w:p>
    <w:p>
      <w:pPr>
        <w:pStyle w:val="9"/>
        <w:rPr>
          <w:rFonts w:ascii="黑体" w:eastAsia="黑体"/>
          <w:b/>
          <w:bCs/>
          <w:color w:val="auto"/>
          <w:szCs w:val="21"/>
          <w:highlight w:val="none"/>
        </w:rPr>
      </w:pPr>
    </w:p>
    <w:p>
      <w:pPr>
        <w:rPr>
          <w:rFonts w:ascii="黑体" w:eastAsia="黑体"/>
          <w:b/>
          <w:bCs/>
          <w:color w:val="auto"/>
          <w:szCs w:val="21"/>
          <w:highlight w:val="none"/>
        </w:rPr>
      </w:pPr>
    </w:p>
    <w:p>
      <w:pPr>
        <w:pStyle w:val="9"/>
        <w:rPr>
          <w:rFonts w:ascii="黑体" w:eastAsia="黑体"/>
          <w:b/>
          <w:bCs/>
          <w:color w:val="auto"/>
          <w:szCs w:val="21"/>
          <w:highlight w:val="none"/>
        </w:rPr>
      </w:pPr>
    </w:p>
    <w:p>
      <w:pPr>
        <w:rPr>
          <w:color w:val="auto"/>
          <w:highlight w:val="none"/>
        </w:rPr>
      </w:pPr>
    </w:p>
    <w:p>
      <w:pPr>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pStyle w:val="76"/>
        <w:rPr>
          <w:rFonts w:hint="default"/>
          <w:color w:val="auto"/>
          <w:sz w:val="28"/>
          <w:szCs w:val="28"/>
          <w:highlight w:val="none"/>
          <w:lang w:val="en-US" w:eastAsia="zh-CN"/>
        </w:rPr>
      </w:pPr>
    </w:p>
    <w:p>
      <w:pPr>
        <w:rPr>
          <w:color w:val="auto"/>
          <w:sz w:val="28"/>
          <w:szCs w:val="28"/>
          <w:highlight w:val="none"/>
        </w:rPr>
      </w:pPr>
      <w:r>
        <w:rPr>
          <w:rFonts w:hint="eastAsia"/>
          <w:color w:val="auto"/>
          <w:sz w:val="28"/>
          <w:szCs w:val="28"/>
          <w:highlight w:val="none"/>
          <w:lang w:eastAsia="zh-CN"/>
        </w:rPr>
        <w:t>一、谈判</w:t>
      </w:r>
      <w:r>
        <w:rPr>
          <w:rFonts w:hint="eastAsia"/>
          <w:color w:val="auto"/>
          <w:sz w:val="28"/>
          <w:szCs w:val="28"/>
          <w:highlight w:val="none"/>
        </w:rPr>
        <w:t>响应函</w:t>
      </w:r>
    </w:p>
    <w:p>
      <w:pPr>
        <w:rPr>
          <w:color w:val="auto"/>
          <w:sz w:val="28"/>
          <w:szCs w:val="28"/>
          <w:highlight w:val="none"/>
        </w:rPr>
      </w:pPr>
      <w:r>
        <w:rPr>
          <w:rFonts w:hint="eastAsia"/>
          <w:color w:val="auto"/>
          <w:sz w:val="28"/>
          <w:szCs w:val="28"/>
          <w:highlight w:val="none"/>
          <w:lang w:eastAsia="zh-CN"/>
        </w:rPr>
        <w:t>二、</w:t>
      </w:r>
      <w:r>
        <w:rPr>
          <w:rFonts w:hint="eastAsia"/>
          <w:color w:val="auto"/>
          <w:sz w:val="28"/>
          <w:szCs w:val="28"/>
          <w:highlight w:val="none"/>
        </w:rPr>
        <w:t>报价表</w:t>
      </w:r>
    </w:p>
    <w:p>
      <w:pPr>
        <w:rPr>
          <w:color w:val="auto"/>
          <w:sz w:val="28"/>
          <w:szCs w:val="28"/>
          <w:highlight w:val="none"/>
        </w:rPr>
      </w:pPr>
      <w:r>
        <w:rPr>
          <w:rFonts w:hint="eastAsia"/>
          <w:color w:val="auto"/>
          <w:sz w:val="28"/>
          <w:szCs w:val="28"/>
          <w:highlight w:val="none"/>
          <w:lang w:eastAsia="zh-CN"/>
        </w:rPr>
        <w:t>三、</w:t>
      </w:r>
      <w:r>
        <w:rPr>
          <w:rFonts w:hint="eastAsia"/>
          <w:color w:val="auto"/>
          <w:sz w:val="28"/>
          <w:szCs w:val="28"/>
          <w:highlight w:val="none"/>
          <w:lang w:val="en-US" w:eastAsia="zh-CN"/>
        </w:rPr>
        <w:t>谈判</w:t>
      </w:r>
      <w:r>
        <w:rPr>
          <w:rFonts w:hint="eastAsia"/>
          <w:color w:val="auto"/>
          <w:sz w:val="28"/>
          <w:szCs w:val="28"/>
          <w:highlight w:val="none"/>
        </w:rPr>
        <w:t>响应表</w:t>
      </w:r>
    </w:p>
    <w:p>
      <w:pPr>
        <w:rPr>
          <w:color w:val="auto"/>
          <w:sz w:val="28"/>
          <w:szCs w:val="28"/>
          <w:highlight w:val="none"/>
        </w:rPr>
      </w:pPr>
      <w:r>
        <w:rPr>
          <w:rFonts w:hint="eastAsia"/>
          <w:color w:val="auto"/>
          <w:sz w:val="28"/>
          <w:szCs w:val="28"/>
          <w:highlight w:val="none"/>
          <w:lang w:eastAsia="zh-CN"/>
        </w:rPr>
        <w:t>四、</w:t>
      </w:r>
      <w:r>
        <w:rPr>
          <w:rFonts w:hint="eastAsia"/>
          <w:color w:val="auto"/>
          <w:sz w:val="28"/>
          <w:szCs w:val="28"/>
          <w:highlight w:val="none"/>
        </w:rPr>
        <w:t>最后报价表</w:t>
      </w:r>
    </w:p>
    <w:p>
      <w:pPr>
        <w:rPr>
          <w:rFonts w:hint="eastAsia"/>
          <w:color w:val="auto"/>
          <w:sz w:val="28"/>
          <w:szCs w:val="28"/>
          <w:highlight w:val="none"/>
          <w:lang w:val="en-US" w:eastAsia="zh-CN"/>
        </w:rPr>
      </w:pPr>
      <w:r>
        <w:rPr>
          <w:rFonts w:hint="eastAsia"/>
          <w:color w:val="auto"/>
          <w:sz w:val="28"/>
          <w:szCs w:val="28"/>
          <w:highlight w:val="none"/>
          <w:lang w:eastAsia="zh-CN"/>
        </w:rPr>
        <w:t>五、</w:t>
      </w:r>
      <w:r>
        <w:rPr>
          <w:rFonts w:hint="eastAsia"/>
          <w:color w:val="auto"/>
          <w:sz w:val="28"/>
          <w:szCs w:val="28"/>
          <w:highlight w:val="none"/>
        </w:rPr>
        <w:t>服务</w:t>
      </w:r>
      <w:r>
        <w:rPr>
          <w:rFonts w:hint="eastAsia"/>
          <w:color w:val="auto"/>
          <w:sz w:val="28"/>
          <w:szCs w:val="28"/>
          <w:highlight w:val="none"/>
          <w:lang w:val="en-US" w:eastAsia="zh-CN"/>
        </w:rPr>
        <w:t>及技术方案</w:t>
      </w:r>
    </w:p>
    <w:p>
      <w:pPr>
        <w:rPr>
          <w:rFonts w:hint="eastAsia"/>
          <w:color w:val="auto"/>
          <w:sz w:val="28"/>
          <w:szCs w:val="28"/>
          <w:highlight w:val="none"/>
        </w:rPr>
      </w:pPr>
      <w:r>
        <w:rPr>
          <w:rFonts w:hint="eastAsia"/>
          <w:color w:val="auto"/>
          <w:sz w:val="28"/>
          <w:szCs w:val="28"/>
          <w:highlight w:val="none"/>
          <w:lang w:eastAsia="zh-CN"/>
        </w:rPr>
        <w:t>六、</w:t>
      </w:r>
      <w:r>
        <w:rPr>
          <w:rFonts w:hint="eastAsia"/>
          <w:color w:val="auto"/>
          <w:sz w:val="28"/>
          <w:szCs w:val="28"/>
          <w:highlight w:val="none"/>
        </w:rPr>
        <w:t>诚信响应承诺书</w:t>
      </w:r>
    </w:p>
    <w:p>
      <w:pPr>
        <w:rPr>
          <w:rFonts w:hint="eastAsia"/>
          <w:color w:val="auto"/>
          <w:sz w:val="28"/>
          <w:szCs w:val="28"/>
          <w:highlight w:val="none"/>
        </w:rPr>
      </w:pPr>
      <w:r>
        <w:rPr>
          <w:rFonts w:hint="eastAsia"/>
          <w:color w:val="auto"/>
          <w:sz w:val="28"/>
          <w:szCs w:val="28"/>
          <w:highlight w:val="none"/>
          <w:lang w:eastAsia="zh-CN"/>
        </w:rPr>
        <w:t>七、</w:t>
      </w:r>
      <w:r>
        <w:rPr>
          <w:rFonts w:hint="eastAsia"/>
          <w:color w:val="auto"/>
          <w:sz w:val="28"/>
          <w:szCs w:val="28"/>
          <w:highlight w:val="none"/>
        </w:rPr>
        <w:t>中小企业声明函</w:t>
      </w:r>
    </w:p>
    <w:p>
      <w:pPr>
        <w:rPr>
          <w:rFonts w:hint="eastAsia"/>
          <w:color w:val="auto"/>
          <w:sz w:val="28"/>
          <w:szCs w:val="28"/>
          <w:highlight w:val="none"/>
        </w:rPr>
      </w:pPr>
      <w:r>
        <w:rPr>
          <w:rFonts w:hint="eastAsia"/>
          <w:color w:val="auto"/>
          <w:sz w:val="28"/>
          <w:szCs w:val="28"/>
          <w:highlight w:val="none"/>
          <w:lang w:eastAsia="zh-CN"/>
        </w:rPr>
        <w:t>八、</w:t>
      </w:r>
      <w:r>
        <w:rPr>
          <w:rFonts w:hint="eastAsia"/>
          <w:color w:val="auto"/>
          <w:sz w:val="28"/>
          <w:szCs w:val="28"/>
          <w:highlight w:val="none"/>
        </w:rPr>
        <w:t>残疾人福利性单位声明函</w:t>
      </w:r>
    </w:p>
    <w:p>
      <w:pPr>
        <w:rPr>
          <w:rFonts w:hint="eastAsia"/>
          <w:color w:val="auto"/>
          <w:sz w:val="28"/>
          <w:szCs w:val="28"/>
          <w:highlight w:val="none"/>
          <w:lang w:val="en-US" w:eastAsia="zh-CN"/>
        </w:rPr>
      </w:pPr>
      <w:r>
        <w:rPr>
          <w:rFonts w:hint="eastAsia"/>
          <w:color w:val="auto"/>
          <w:sz w:val="28"/>
          <w:szCs w:val="28"/>
          <w:highlight w:val="none"/>
          <w:lang w:eastAsia="zh-CN"/>
        </w:rPr>
        <w:t>九、</w:t>
      </w:r>
      <w:r>
        <w:rPr>
          <w:rFonts w:hint="eastAsia"/>
          <w:color w:val="auto"/>
          <w:sz w:val="28"/>
          <w:szCs w:val="28"/>
          <w:highlight w:val="none"/>
          <w:lang w:val="en-US" w:eastAsia="zh-CN"/>
        </w:rPr>
        <w:t>供应商声明函</w:t>
      </w:r>
    </w:p>
    <w:p>
      <w:pPr>
        <w:rPr>
          <w:rFonts w:hint="default"/>
          <w:color w:val="auto"/>
          <w:sz w:val="28"/>
          <w:szCs w:val="28"/>
          <w:highlight w:val="none"/>
          <w:lang w:val="en-US" w:eastAsia="zh-CN"/>
        </w:rPr>
      </w:pPr>
      <w:r>
        <w:rPr>
          <w:rFonts w:hint="eastAsia"/>
          <w:color w:val="auto"/>
          <w:sz w:val="28"/>
          <w:szCs w:val="28"/>
          <w:highlight w:val="none"/>
          <w:lang w:eastAsia="zh-CN"/>
        </w:rPr>
        <w:t>十、</w:t>
      </w:r>
      <w:r>
        <w:rPr>
          <w:rFonts w:hint="eastAsia"/>
          <w:color w:val="auto"/>
          <w:sz w:val="28"/>
          <w:szCs w:val="28"/>
          <w:highlight w:val="none"/>
          <w:lang w:val="en-US" w:eastAsia="zh-CN"/>
        </w:rPr>
        <w:t>联合体协议</w:t>
      </w:r>
    </w:p>
    <w:p>
      <w:pPr>
        <w:rPr>
          <w:rFonts w:hint="default"/>
          <w:color w:val="auto"/>
          <w:sz w:val="28"/>
          <w:szCs w:val="28"/>
          <w:highlight w:val="none"/>
          <w:lang w:val="en-US" w:eastAsia="zh-CN"/>
        </w:rPr>
      </w:pPr>
      <w:r>
        <w:rPr>
          <w:rFonts w:hint="eastAsia"/>
          <w:color w:val="auto"/>
          <w:sz w:val="28"/>
          <w:szCs w:val="28"/>
          <w:highlight w:val="none"/>
          <w:lang w:eastAsia="zh-CN"/>
        </w:rPr>
        <w:t>十一、</w:t>
      </w:r>
      <w:r>
        <w:rPr>
          <w:rFonts w:hint="eastAsia"/>
          <w:color w:val="auto"/>
          <w:sz w:val="28"/>
          <w:szCs w:val="28"/>
          <w:highlight w:val="none"/>
          <w:lang w:val="en-US" w:eastAsia="zh-CN"/>
        </w:rPr>
        <w:t>证明材料</w:t>
      </w:r>
    </w:p>
    <w:p>
      <w:pPr>
        <w:rPr>
          <w:rFonts w:hint="default"/>
          <w:color w:val="auto"/>
          <w:sz w:val="24"/>
          <w:szCs w:val="24"/>
          <w:highlight w:val="none"/>
          <w:lang w:val="en-US" w:eastAsia="zh-CN"/>
        </w:rPr>
      </w:pPr>
    </w:p>
    <w:p>
      <w:pPr>
        <w:spacing w:line="480" w:lineRule="auto"/>
        <w:ind w:firstLine="480" w:firstLineChars="200"/>
        <w:rPr>
          <w:rFonts w:ascii="宋体" w:hAnsi="宋体" w:cs="宋体"/>
          <w:color w:val="auto"/>
          <w:sz w:val="24"/>
          <w:highlight w:val="none"/>
        </w:rPr>
      </w:pPr>
    </w:p>
    <w:p>
      <w:pPr>
        <w:pStyle w:val="76"/>
        <w:rPr>
          <w:rFonts w:ascii="宋体" w:hAnsi="宋体" w:cs="宋体"/>
          <w:color w:val="auto"/>
          <w:sz w:val="24"/>
          <w:highlight w:val="none"/>
        </w:rPr>
      </w:pPr>
    </w:p>
    <w:p>
      <w:pPr>
        <w:pStyle w:val="76"/>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widowControl/>
        <w:jc w:val="left"/>
        <w:rPr>
          <w:rFonts w:ascii="宋体" w:cs="宋体"/>
          <w:color w:val="auto"/>
          <w:sz w:val="24"/>
          <w:highlight w:val="none"/>
        </w:rPr>
      </w:pPr>
    </w:p>
    <w:p>
      <w:pPr>
        <w:pStyle w:val="9"/>
        <w:jc w:val="center"/>
        <w:rPr>
          <w:rFonts w:cs="宋体"/>
          <w:color w:val="auto"/>
          <w:sz w:val="28"/>
          <w:szCs w:val="28"/>
          <w:highlight w:val="none"/>
        </w:rPr>
      </w:pPr>
      <w:bookmarkStart w:id="223" w:name="_Toc54941342"/>
      <w:bookmarkStart w:id="224" w:name="_Toc476584433"/>
      <w:r>
        <w:rPr>
          <w:rFonts w:hint="eastAsia" w:cs="宋体"/>
          <w:color w:val="auto"/>
          <w:sz w:val="28"/>
          <w:szCs w:val="28"/>
          <w:highlight w:val="none"/>
        </w:rPr>
        <w:t>一、</w:t>
      </w:r>
      <w:r>
        <w:rPr>
          <w:rFonts w:hint="eastAsia" w:cs="宋体"/>
          <w:color w:val="auto"/>
          <w:sz w:val="28"/>
          <w:szCs w:val="28"/>
          <w:highlight w:val="none"/>
          <w:lang w:eastAsia="zh-CN"/>
        </w:rPr>
        <w:t>谈判</w:t>
      </w:r>
      <w:r>
        <w:rPr>
          <w:rFonts w:hint="eastAsia" w:cs="宋体"/>
          <w:color w:val="auto"/>
          <w:sz w:val="28"/>
          <w:szCs w:val="28"/>
          <w:highlight w:val="none"/>
        </w:rPr>
        <w:t>响应函</w:t>
      </w:r>
      <w:bookmarkEnd w:id="223"/>
      <w:bookmarkEnd w:id="224"/>
    </w:p>
    <w:p>
      <w:pPr>
        <w:pStyle w:val="35"/>
        <w:spacing w:line="360" w:lineRule="auto"/>
        <w:ind w:left="0" w:leftChars="0" w:firstLine="0" w:firstLineChars="0"/>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4"/>
          <w:highlight w:val="none"/>
          <w:u w:val="single"/>
        </w:rPr>
        <w:t>某采购单位</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w:t>
      </w:r>
      <w:bookmarkStart w:id="225" w:name="_Hlk44287576"/>
      <w:r>
        <w:rPr>
          <w:rFonts w:hint="eastAsia" w:ascii="宋体" w:hAnsi="宋体" w:eastAsia="宋体"/>
          <w:color w:val="auto"/>
          <w:sz w:val="24"/>
          <w:highlight w:val="none"/>
        </w:rPr>
        <w:t>竞争性谈判公告</w:t>
      </w:r>
      <w:bookmarkEnd w:id="225"/>
      <w:r>
        <w:rPr>
          <w:rFonts w:hint="eastAsia" w:ascii="宋体" w:hAnsi="宋体" w:eastAsia="宋体"/>
          <w:color w:val="auto"/>
          <w:sz w:val="24"/>
          <w:highlight w:val="none"/>
        </w:rPr>
        <w:t>，我方兹宣布同意如下：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1.如我公司成交，我公司承诺愿意按谈判文件规定缴纳履约保证金和成交服务费。按本次谈判文件规定及最后报价承诺供货及安装。</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2.我方根据本次谈判文件的规定，严格履行合同的责任和义务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并保证于甲方（采购人）要求的日期内完成项目的</w:t>
      </w:r>
      <w:r>
        <w:rPr>
          <w:rFonts w:hint="eastAsia" w:ascii="宋体" w:hAnsi="宋体"/>
          <w:color w:val="auto"/>
          <w:sz w:val="24"/>
          <w:highlight w:val="none"/>
          <w:lang w:val="en-US" w:eastAsia="zh-CN"/>
        </w:rPr>
        <w:t>服务</w:t>
      </w:r>
      <w:r>
        <w:rPr>
          <w:rFonts w:hint="eastAsia" w:ascii="宋体" w:hAnsi="宋体" w:eastAsia="宋体"/>
          <w:color w:val="auto"/>
          <w:sz w:val="24"/>
          <w:highlight w:val="none"/>
        </w:rPr>
        <w:t>，并通过甲方（采购人）验收。</w:t>
      </w:r>
    </w:p>
    <w:p>
      <w:pPr>
        <w:spacing w:line="360" w:lineRule="auto"/>
        <w:ind w:firstLine="480" w:firstLineChars="200"/>
        <w:rPr>
          <w:rFonts w:hint="eastAsia" w:ascii="宋体" w:hAnsi="宋体" w:eastAsia="宋体"/>
          <w:color w:val="auto"/>
          <w:sz w:val="24"/>
          <w:highlight w:val="none"/>
        </w:rPr>
      </w:pPr>
      <w:r>
        <w:rPr>
          <w:rFonts w:hint="default" w:ascii="宋体" w:hAnsi="宋体"/>
          <w:color w:val="auto"/>
          <w:sz w:val="24"/>
          <w:highlight w:val="none"/>
          <w:lang w:val="en-US"/>
        </w:rPr>
        <w:t>3</w:t>
      </w:r>
      <w:r>
        <w:rPr>
          <w:rFonts w:hint="eastAsia" w:ascii="宋体" w:hAnsi="宋体" w:eastAsia="宋体"/>
          <w:color w:val="auto"/>
          <w:sz w:val="24"/>
          <w:highlight w:val="none"/>
        </w:rPr>
        <w:t>.我方已详细审核本次谈判文件，包括谈判文件附件、参考资料、谈判文件更正公告</w:t>
      </w:r>
      <w:r>
        <w:rPr>
          <w:rFonts w:hint="eastAsia" w:ascii="宋体" w:hAnsi="宋体"/>
          <w:color w:val="auto"/>
          <w:sz w:val="24"/>
          <w:highlight w:val="none"/>
          <w:lang w:val="en-US" w:eastAsia="zh-CN"/>
        </w:rPr>
        <w:t>或</w:t>
      </w:r>
      <w:r>
        <w:rPr>
          <w:rFonts w:hint="eastAsia" w:ascii="宋体" w:hAnsi="宋体" w:eastAsia="宋体"/>
          <w:color w:val="auto"/>
          <w:sz w:val="24"/>
          <w:highlight w:val="none"/>
        </w:rPr>
        <w:t>图纸（如有），我方正式认可并遵守本次谈判文件，并对谈判文件各项条款、规定及要求均无异议。</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4</w:t>
      </w:r>
      <w:r>
        <w:rPr>
          <w:rFonts w:hint="eastAsia" w:ascii="宋体" w:hAnsi="宋体" w:eastAsia="宋体"/>
          <w:color w:val="auto"/>
          <w:sz w:val="24"/>
          <w:highlight w:val="none"/>
        </w:rPr>
        <w:t>.我方同意从供应商须知规定的谈判日期起遵循本谈判文件，并在供应商须知规定的谈判有效期之前均具有约束力。</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5</w:t>
      </w:r>
      <w:r>
        <w:rPr>
          <w:rFonts w:hint="eastAsia" w:ascii="宋体" w:hAnsi="宋体" w:eastAsia="宋体"/>
          <w:color w:val="auto"/>
          <w:sz w:val="24"/>
          <w:highlight w:val="none"/>
        </w:rPr>
        <w:t>.我方同意按贵方要求在谈判规定时间内向贵方提供与其谈判有关的任何证据或补充资料，否则，我方的响应文件可被贵方拒绝。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6</w:t>
      </w:r>
      <w:r>
        <w:rPr>
          <w:rFonts w:hint="eastAsia" w:ascii="宋体" w:hAnsi="宋体" w:eastAsia="宋体"/>
          <w:color w:val="auto"/>
          <w:sz w:val="24"/>
          <w:highlight w:val="none"/>
        </w:rPr>
        <w:t>.我方完全理解贵方不一定接受最低报价的谈判。</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7</w:t>
      </w:r>
      <w:r>
        <w:rPr>
          <w:rFonts w:hint="eastAsia" w:ascii="宋体" w:hAnsi="宋体" w:eastAsia="宋体"/>
          <w:color w:val="auto"/>
          <w:sz w:val="24"/>
          <w:highlight w:val="none"/>
        </w:rPr>
        <w:t>.我方同意谈判文件规定的付款方式、服务</w:t>
      </w:r>
      <w:r>
        <w:rPr>
          <w:rFonts w:hint="eastAsia" w:ascii="宋体" w:hAnsi="宋体" w:eastAsia="宋体"/>
          <w:color w:val="auto"/>
          <w:sz w:val="24"/>
          <w:highlight w:val="none"/>
          <w:lang w:eastAsia="zh-CN"/>
        </w:rPr>
        <w:t>（或供货）</w:t>
      </w:r>
      <w:r>
        <w:rPr>
          <w:rFonts w:hint="eastAsia" w:ascii="宋体" w:hAnsi="宋体" w:eastAsia="宋体"/>
          <w:color w:val="auto"/>
          <w:sz w:val="24"/>
          <w:highlight w:val="none"/>
        </w:rPr>
        <w:t>期限。</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8</w:t>
      </w:r>
      <w:r>
        <w:rPr>
          <w:rFonts w:hint="eastAsia" w:ascii="宋体" w:hAnsi="宋体" w:eastAsia="宋体"/>
          <w:color w:val="auto"/>
          <w:sz w:val="24"/>
          <w:highlight w:val="none"/>
        </w:rPr>
        <w:t>.我方对响应文件中所提供资料、文件、证书及证件的真实性和有效性负责。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color w:val="auto"/>
          <w:sz w:val="24"/>
          <w:highlight w:val="none"/>
          <w:lang w:eastAsia="zh-CN"/>
        </w:rPr>
        <w:t>签章</w:t>
      </w:r>
      <w:r>
        <w:rPr>
          <w:rFonts w:hint="eastAsia" w:ascii="宋体" w:hAnsi="宋体" w:eastAsia="宋体"/>
          <w:color w:val="auto"/>
          <w:sz w:val="24"/>
          <w:highlight w:val="none"/>
        </w:rPr>
        <w:t>：</w:t>
      </w:r>
      <w:r>
        <w:rPr>
          <w:rFonts w:hint="eastAsia" w:ascii="宋体" w:hAnsi="宋体" w:eastAsia="宋体"/>
          <w:color w:val="auto"/>
          <w:sz w:val="24"/>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32"/>
        <w:tabs>
          <w:tab w:val="left" w:pos="5580"/>
        </w:tabs>
        <w:spacing w:line="480" w:lineRule="auto"/>
        <w:ind w:firstLine="3570" w:firstLineChars="1700"/>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9"/>
        <w:numPr>
          <w:ilvl w:val="0"/>
          <w:numId w:val="0"/>
        </w:numPr>
        <w:jc w:val="center"/>
        <w:rPr>
          <w:rFonts w:cs="宋体"/>
          <w:color w:val="auto"/>
          <w:sz w:val="28"/>
          <w:szCs w:val="28"/>
          <w:highlight w:val="none"/>
        </w:rPr>
      </w:pPr>
      <w:bookmarkStart w:id="226" w:name="_Toc54941343"/>
      <w:bookmarkStart w:id="227" w:name="_Toc28034"/>
      <w:bookmarkStart w:id="228" w:name="_Toc476584434"/>
      <w:bookmarkStart w:id="229" w:name="_Toc32647"/>
      <w:bookmarkStart w:id="230" w:name="_Toc28153"/>
      <w:bookmarkStart w:id="231" w:name="_Toc388283751"/>
      <w:r>
        <w:rPr>
          <w:rFonts w:hint="eastAsia" w:cs="宋体"/>
          <w:color w:val="auto"/>
          <w:sz w:val="28"/>
          <w:szCs w:val="28"/>
          <w:highlight w:val="none"/>
          <w:lang w:val="en-US" w:eastAsia="zh-CN"/>
        </w:rPr>
        <w:t>二、</w:t>
      </w:r>
      <w:r>
        <w:rPr>
          <w:rFonts w:hint="eastAsia" w:cs="宋体"/>
          <w:color w:val="auto"/>
          <w:sz w:val="28"/>
          <w:szCs w:val="28"/>
          <w:highlight w:val="none"/>
        </w:rPr>
        <w:t>报价表</w:t>
      </w:r>
      <w:bookmarkEnd w:id="226"/>
      <w:bookmarkEnd w:id="227"/>
      <w:bookmarkEnd w:id="228"/>
    </w:p>
    <w:p>
      <w:pPr>
        <w:rPr>
          <w:rFonts w:hint="eastAsia" w:hAnsi="宋体" w:eastAsia="宋体" w:cs="宋体"/>
          <w:color w:val="auto"/>
          <w:kern w:val="2"/>
          <w:sz w:val="28"/>
          <w:szCs w:val="28"/>
          <w:highlight w:val="none"/>
          <w:lang w:val="en-US" w:eastAsia="zh-CN" w:bidi="ar-SA"/>
        </w:rPr>
      </w:pPr>
      <w:r>
        <w:rPr>
          <w:rFonts w:hint="eastAsia" w:ascii="Times New Roman" w:hAnsi="宋体" w:eastAsia="宋体" w:cs="宋体"/>
          <w:color w:val="auto"/>
          <w:kern w:val="2"/>
          <w:sz w:val="28"/>
          <w:szCs w:val="28"/>
          <w:highlight w:val="none"/>
          <w:lang w:val="en-US" w:eastAsia="zh-CN" w:bidi="ar-SA"/>
        </w:rPr>
        <w:t>2-1</w:t>
      </w:r>
      <w:r>
        <w:rPr>
          <w:rFonts w:hint="eastAsia" w:hAnsi="宋体" w:eastAsia="宋体" w:cs="宋体"/>
          <w:color w:val="auto"/>
          <w:kern w:val="2"/>
          <w:sz w:val="28"/>
          <w:szCs w:val="28"/>
          <w:highlight w:val="none"/>
          <w:lang w:val="en-US" w:eastAsia="zh-CN" w:bidi="ar-SA"/>
        </w:rPr>
        <w:t>首轮报价表</w:t>
      </w:r>
    </w:p>
    <w:p>
      <w:pPr>
        <w:snapToGrid w:val="0"/>
        <w:spacing w:line="360" w:lineRule="auto"/>
        <w:jc w:val="left"/>
        <w:rPr>
          <w:rFonts w:hint="eastAsia" w:ascii="宋体" w:hAnsi="宋体" w:eastAsia="宋体"/>
          <w:b/>
          <w:color w:val="auto"/>
          <w:sz w:val="24"/>
          <w:szCs w:val="28"/>
          <w:highlight w:val="none"/>
        </w:rPr>
      </w:pP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某项目       </w:t>
      </w:r>
    </w:p>
    <w:p>
      <w:pPr>
        <w:snapToGrid w:val="0"/>
        <w:spacing w:after="156" w:afterLines="50" w:line="360" w:lineRule="auto"/>
        <w:jc w:val="left"/>
        <w:rPr>
          <w:rFonts w:hint="eastAsia" w:ascii="宋体" w:hAnsi="宋体" w:eastAsia="宋体"/>
          <w:b/>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某编号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43" w:type="pct"/>
            <w:vMerge w:val="restart"/>
            <w:tcBorders>
              <w:top w:val="single" w:color="auto" w:sz="4" w:space="0"/>
            </w:tcBorders>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报价</w:t>
            </w:r>
          </w:p>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（详见备注说明）</w:t>
            </w: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人民币小写：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Merge w:val="continue"/>
            <w:vAlign w:val="center"/>
          </w:tcPr>
          <w:p>
            <w:pPr>
              <w:spacing w:line="360" w:lineRule="auto"/>
              <w:jc w:val="center"/>
              <w:rPr>
                <w:rFonts w:ascii="宋体" w:hAnsi="宋体" w:eastAsia="宋体"/>
                <w:b/>
                <w:color w:val="auto"/>
                <w:sz w:val="24"/>
                <w:szCs w:val="24"/>
                <w:highlight w:val="none"/>
              </w:rPr>
            </w:pP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Align w:val="center"/>
          </w:tcPr>
          <w:p>
            <w:pPr>
              <w:spacing w:line="360" w:lineRule="auto"/>
              <w:jc w:val="center"/>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备注说明</w:t>
            </w:r>
          </w:p>
        </w:tc>
        <w:tc>
          <w:tcPr>
            <w:tcW w:w="3556" w:type="pct"/>
          </w:tcPr>
          <w:p>
            <w:pPr>
              <w:spacing w:line="360" w:lineRule="auto"/>
              <w:rPr>
                <w:rFonts w:ascii="宋体" w:hAnsi="宋体" w:eastAsia="宋体"/>
                <w:b/>
                <w:color w:val="auto"/>
                <w:sz w:val="24"/>
                <w:highlight w:val="none"/>
              </w:rPr>
            </w:pPr>
          </w:p>
        </w:tc>
      </w:tr>
    </w:tbl>
    <w:p>
      <w:pPr>
        <w:pStyle w:val="9"/>
        <w:rPr>
          <w:color w:val="auto"/>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w:t>
      </w:r>
      <w:r>
        <w:rPr>
          <w:rFonts w:hint="eastAsia" w:ascii="宋体" w:hAnsi="宋体"/>
          <w:color w:val="auto"/>
          <w:sz w:val="24"/>
          <w:szCs w:val="24"/>
          <w:highlight w:val="none"/>
          <w:lang w:eastAsia="zh-CN"/>
        </w:rPr>
        <w:t>签章</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spacing w:line="440" w:lineRule="exact"/>
        <w:ind w:firstLine="4800" w:firstLineChars="2000"/>
        <w:rPr>
          <w:rFonts w:hint="eastAsia" w:ascii="宋体" w:hAnsi="宋体" w:eastAsia="宋体"/>
          <w:color w:val="auto"/>
          <w:sz w:val="24"/>
          <w:szCs w:val="24"/>
          <w:highlight w:val="none"/>
          <w:u w:val="single"/>
        </w:rPr>
        <w:sectPr>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w:t>
      </w:r>
      <w:r>
        <w:rPr>
          <w:rFonts w:hint="eastAsia"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rPr>
          <w:color w:val="auto"/>
          <w:highlight w:val="none"/>
        </w:rPr>
      </w:pPr>
    </w:p>
    <w:p>
      <w:pPr>
        <w:rPr>
          <w:color w:val="auto"/>
          <w:highlight w:val="none"/>
        </w:rPr>
      </w:pPr>
      <w:r>
        <w:rPr>
          <w:rFonts w:hint="eastAsia" w:hAnsi="宋体" w:cs="宋体"/>
          <w:color w:val="auto"/>
          <w:sz w:val="28"/>
          <w:szCs w:val="28"/>
          <w:highlight w:val="none"/>
          <w:lang w:val="en-US" w:eastAsia="zh-CN"/>
        </w:rPr>
        <w:t>2-2</w:t>
      </w:r>
      <w:r>
        <w:rPr>
          <w:rFonts w:hint="eastAsia" w:hAnsi="宋体" w:cs="宋体"/>
          <w:color w:val="auto"/>
          <w:sz w:val="28"/>
          <w:szCs w:val="28"/>
          <w:highlight w:val="none"/>
          <w:lang w:eastAsia="zh-CN"/>
        </w:rPr>
        <w:t>分项报价明细表</w:t>
      </w:r>
      <w:r>
        <w:rPr>
          <w:rFonts w:hint="eastAsia" w:hAnsi="宋体" w:cs="宋体"/>
          <w:color w:val="auto"/>
          <w:sz w:val="28"/>
          <w:szCs w:val="28"/>
          <w:highlight w:val="none"/>
        </w:rPr>
        <w:t>：</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3388"/>
        <w:gridCol w:w="1478"/>
        <w:gridCol w:w="185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1824" w:type="pct"/>
            <w:vAlign w:val="center"/>
          </w:tcPr>
          <w:p>
            <w:pPr>
              <w:jc w:val="center"/>
              <w:rPr>
                <w:rFonts w:hint="eastAsia" w:ascii="宋体" w:hAnsi="宋体" w:eastAsia="宋体"/>
                <w:b/>
                <w:color w:val="auto"/>
                <w:sz w:val="24"/>
                <w:highlight w:val="none"/>
                <w:lang w:eastAsia="zh-CN"/>
              </w:rPr>
            </w:pPr>
            <w:r>
              <w:rPr>
                <w:rFonts w:hint="eastAsia" w:ascii="宋体" w:hAnsi="宋体"/>
                <w:b/>
                <w:color w:val="auto"/>
                <w:sz w:val="24"/>
                <w:highlight w:val="none"/>
                <w:lang w:val="en-US" w:eastAsia="zh-CN"/>
              </w:rPr>
              <w:t>货物名称</w:t>
            </w:r>
          </w:p>
        </w:tc>
        <w:tc>
          <w:tcPr>
            <w:tcW w:w="7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项</w:t>
            </w:r>
          </w:p>
        </w:tc>
        <w:tc>
          <w:tcPr>
            <w:tcW w:w="9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单价</w:t>
            </w:r>
          </w:p>
        </w:tc>
        <w:tc>
          <w:tcPr>
            <w:tcW w:w="920"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pStyle w:val="419"/>
              <w:ind w:left="-108"/>
              <w:jc w:val="center"/>
              <w:rPr>
                <w:rFonts w:ascii="宋体" w:hAnsi="宋体"/>
                <w:color w:val="auto"/>
                <w:highlight w:val="none"/>
              </w:rPr>
            </w:pPr>
            <w:r>
              <w:rPr>
                <w:rFonts w:hint="eastAsia" w:ascii="宋体" w:hAnsi="宋体"/>
                <w:color w:val="auto"/>
                <w:highlight w:val="none"/>
              </w:rPr>
              <w:t>其他费用</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0" w:type="pct"/>
            <w:gridSpan w:val="4"/>
            <w:vAlign w:val="center"/>
          </w:tcPr>
          <w:p>
            <w:pPr>
              <w:jc w:val="center"/>
              <w:rPr>
                <w:rFonts w:ascii="宋体" w:hAnsi="宋体" w:eastAsia="宋体"/>
                <w:color w:val="auto"/>
                <w:sz w:val="24"/>
                <w:highlight w:val="none"/>
              </w:rPr>
            </w:pPr>
            <w:r>
              <w:rPr>
                <w:rFonts w:hint="eastAsia" w:ascii="宋体" w:hAnsi="宋体" w:eastAsia="宋体"/>
                <w:b/>
                <w:color w:val="auto"/>
                <w:sz w:val="24"/>
                <w:highlight w:val="none"/>
              </w:rPr>
              <w:t>合计金额（元）</w:t>
            </w:r>
          </w:p>
        </w:tc>
        <w:tc>
          <w:tcPr>
            <w:tcW w:w="920" w:type="pct"/>
            <w:vAlign w:val="center"/>
          </w:tcPr>
          <w:p>
            <w:pPr>
              <w:jc w:val="center"/>
              <w:rPr>
                <w:rFonts w:ascii="宋体" w:hAnsi="宋体" w:eastAsia="宋体"/>
                <w:color w:val="auto"/>
                <w:sz w:val="24"/>
                <w:highlight w:val="none"/>
              </w:rPr>
            </w:pPr>
          </w:p>
        </w:tc>
      </w:tr>
    </w:tbl>
    <w:p>
      <w:pPr>
        <w:pStyle w:val="5"/>
        <w:rPr>
          <w:rFonts w:hAnsi="宋体" w:cs="宋体"/>
          <w:color w:val="auto"/>
          <w:highlight w:val="none"/>
        </w:rPr>
      </w:pPr>
    </w:p>
    <w:p>
      <w:pPr>
        <w:adjustRightInd w:val="0"/>
        <w:snapToGrid w:val="0"/>
        <w:spacing w:line="360" w:lineRule="auto"/>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备注：</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表中所列服务为对应本项目需求的全部服务内容。如有漏项或缺项，供应商承担全部责任。</w:t>
      </w:r>
    </w:p>
    <w:p>
      <w:pPr>
        <w:pStyle w:val="5"/>
        <w:ind w:firstLine="0"/>
        <w:rPr>
          <w:rFonts w:hAnsi="宋体" w:cs="宋体"/>
          <w:color w:val="auto"/>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numPr>
          <w:ilvl w:val="0"/>
          <w:numId w:val="0"/>
        </w:numPr>
        <w:shd w:val="clear" w:color="auto" w:fill="FFFFFF"/>
        <w:jc w:val="center"/>
        <w:rPr>
          <w:rFonts w:hint="eastAsia" w:cs="宋体"/>
          <w:color w:val="auto"/>
          <w:sz w:val="28"/>
          <w:szCs w:val="28"/>
          <w:highlight w:val="none"/>
          <w:lang w:val="en-US" w:eastAsia="zh-CN"/>
        </w:rPr>
      </w:pPr>
    </w:p>
    <w:p>
      <w:pPr>
        <w:pStyle w:val="9"/>
        <w:numPr>
          <w:ilvl w:val="0"/>
          <w:numId w:val="0"/>
        </w:numPr>
        <w:shd w:val="clear" w:color="auto" w:fill="FFFFFF"/>
        <w:jc w:val="center"/>
        <w:rPr>
          <w:rFonts w:hint="eastAsia" w:cs="宋体"/>
          <w:color w:val="auto"/>
          <w:sz w:val="28"/>
          <w:szCs w:val="28"/>
          <w:highlight w:val="none"/>
          <w:lang w:val="en-US" w:eastAsia="zh-CN"/>
        </w:rPr>
        <w:sectPr>
          <w:footerReference r:id="rId6" w:type="default"/>
          <w:pgSz w:w="11906" w:h="16838"/>
          <w:pgMar w:top="1418" w:right="1418" w:bottom="1276" w:left="1418" w:header="680" w:footer="680" w:gutter="0"/>
          <w:pgNumType w:fmt="decimal"/>
          <w:cols w:space="720" w:num="1"/>
          <w:docGrid w:type="lines" w:linePitch="312" w:charSpace="0"/>
        </w:sectPr>
      </w:pPr>
    </w:p>
    <w:p>
      <w:pPr>
        <w:pStyle w:val="9"/>
        <w:numPr>
          <w:ilvl w:val="0"/>
          <w:numId w:val="0"/>
        </w:numPr>
        <w:shd w:val="clear" w:color="auto" w:fill="FFFFFF"/>
        <w:jc w:val="center"/>
        <w:rPr>
          <w:rFonts w:hint="eastAsia" w:cs="宋体"/>
          <w:color w:val="auto"/>
          <w:sz w:val="28"/>
          <w:szCs w:val="28"/>
          <w:highlight w:val="none"/>
          <w:lang w:val="en-US" w:eastAsia="zh-CN"/>
        </w:rPr>
      </w:pPr>
      <w:r>
        <w:rPr>
          <w:rFonts w:hint="eastAsia" w:cs="宋体"/>
          <w:color w:val="auto"/>
          <w:sz w:val="28"/>
          <w:szCs w:val="28"/>
          <w:highlight w:val="none"/>
          <w:lang w:val="en-US" w:eastAsia="zh-CN"/>
        </w:rPr>
        <w:t>三、</w:t>
      </w:r>
      <w:r>
        <w:rPr>
          <w:rFonts w:hint="eastAsia" w:cs="宋体"/>
          <w:strike w:val="0"/>
          <w:dstrike w:val="0"/>
          <w:color w:val="auto"/>
          <w:sz w:val="28"/>
          <w:szCs w:val="28"/>
          <w:highlight w:val="none"/>
          <w:lang w:val="en-US" w:eastAsia="zh-CN"/>
        </w:rPr>
        <w:t>谈判</w:t>
      </w:r>
      <w:r>
        <w:rPr>
          <w:rFonts w:hint="eastAsia" w:cs="宋体"/>
          <w:color w:val="auto"/>
          <w:sz w:val="28"/>
          <w:szCs w:val="28"/>
          <w:highlight w:val="none"/>
          <w:lang w:val="en-US" w:eastAsia="zh-CN"/>
        </w:rPr>
        <w:t>响应表</w:t>
      </w:r>
      <w:bookmarkEnd w:id="229"/>
      <w:bookmarkEnd w:id="230"/>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商务要求响应表：</w:t>
      </w:r>
    </w:p>
    <w:tbl>
      <w:tblPr>
        <w:tblStyle w:val="62"/>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27"/>
        <w:gridCol w:w="2215"/>
        <w:gridCol w:w="234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49"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1927" w:type="dxa"/>
            <w:vAlign w:val="center"/>
          </w:tcPr>
          <w:p>
            <w:pPr>
              <w:pStyle w:val="32"/>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w:t>
            </w:r>
          </w:p>
        </w:tc>
        <w:tc>
          <w:tcPr>
            <w:tcW w:w="221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谈判文件</w:t>
            </w:r>
            <w:r>
              <w:rPr>
                <w:rFonts w:hint="eastAsia" w:cs="Wingdings" w:asciiTheme="minorEastAsia" w:hAnsiTheme="minorEastAsia"/>
                <w:b/>
                <w:color w:val="auto"/>
                <w:sz w:val="24"/>
                <w:highlight w:val="none"/>
              </w:rPr>
              <w:t>要求</w:t>
            </w:r>
          </w:p>
        </w:tc>
        <w:tc>
          <w:tcPr>
            <w:tcW w:w="2347"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响应人</w:t>
            </w:r>
            <w:r>
              <w:rPr>
                <w:rFonts w:hint="eastAsia" w:cs="Wingdings" w:asciiTheme="minorEastAsia" w:hAnsiTheme="minorEastAsia"/>
                <w:b/>
                <w:color w:val="auto"/>
                <w:sz w:val="24"/>
                <w:highlight w:val="none"/>
              </w:rPr>
              <w:t>承诺</w:t>
            </w:r>
          </w:p>
        </w:tc>
        <w:tc>
          <w:tcPr>
            <w:tcW w:w="123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927" w:type="dxa"/>
            <w:vAlign w:val="center"/>
          </w:tcPr>
          <w:p>
            <w:pPr>
              <w:jc w:val="center"/>
              <w:rPr>
                <w:rFonts w:ascii="宋体" w:hAnsi="宋体"/>
                <w:color w:val="auto"/>
                <w:sz w:val="24"/>
                <w:highlight w:val="none"/>
              </w:rPr>
            </w:pPr>
            <w:r>
              <w:rPr>
                <w:rFonts w:asciiTheme="minorEastAsia" w:hAnsiTheme="minorEastAsia" w:eastAsiaTheme="minorEastAsia"/>
                <w:color w:val="auto"/>
                <w:sz w:val="24"/>
                <w:highlight w:val="none"/>
              </w:rPr>
              <w:t>付款方式</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地点</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期限</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pStyle w:val="419"/>
              <w:jc w:val="center"/>
              <w:rPr>
                <w:rFonts w:asciiTheme="minorEastAsia" w:hAnsiTheme="minorEastAsia" w:eastAsiaTheme="minorEastAsia"/>
                <w:color w:val="auto"/>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927" w:type="dxa"/>
            <w:vAlign w:val="center"/>
          </w:tcPr>
          <w:p>
            <w:pPr>
              <w:jc w:val="center"/>
              <w:rPr>
                <w:rFonts w:ascii="宋体" w:hAnsi="宋体"/>
                <w:color w:val="auto"/>
                <w:sz w:val="24"/>
                <w:highlight w:val="none"/>
              </w:rPr>
            </w:pP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bl>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lang w:eastAsia="zh-CN"/>
        </w:rPr>
        <w:t>服务需求</w:t>
      </w:r>
      <w:r>
        <w:rPr>
          <w:rFonts w:hint="eastAsia" w:ascii="宋体" w:hAnsi="宋体"/>
          <w:color w:val="auto"/>
          <w:szCs w:val="21"/>
          <w:highlight w:val="none"/>
        </w:rPr>
        <w:t>响应表：</w:t>
      </w:r>
    </w:p>
    <w:tbl>
      <w:tblPr>
        <w:tblStyle w:val="62"/>
        <w:tblW w:w="8727"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68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83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568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服务内容质量要求</w:t>
            </w:r>
          </w:p>
        </w:tc>
        <w:tc>
          <w:tcPr>
            <w:tcW w:w="220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bl>
    <w:p>
      <w:pPr>
        <w:pStyle w:val="9"/>
        <w:rPr>
          <w:color w:val="auto"/>
          <w:highlight w:val="none"/>
        </w:rPr>
      </w:pPr>
    </w:p>
    <w:p>
      <w:pPr>
        <w:tabs>
          <w:tab w:val="left" w:pos="1815"/>
        </w:tabs>
        <w:spacing w:line="360" w:lineRule="auto"/>
        <w:rPr>
          <w:rFonts w:ascii="宋体" w:hAnsi="宋体" w:cs="Arial"/>
          <w:color w:val="auto"/>
          <w:szCs w:val="21"/>
          <w:highlight w:val="none"/>
        </w:rPr>
      </w:pPr>
      <w:r>
        <w:rPr>
          <w:rFonts w:ascii="宋体" w:hAnsi="宋体" w:cs="Arial"/>
          <w:b/>
          <w:color w:val="auto"/>
          <w:szCs w:val="21"/>
          <w:highlight w:val="none"/>
        </w:rPr>
        <w:t>注：</w:t>
      </w:r>
      <w:r>
        <w:rPr>
          <w:rFonts w:ascii="宋体" w:hAnsi="宋体" w:cs="Arial"/>
          <w:color w:val="auto"/>
          <w:szCs w:val="21"/>
          <w:highlight w:val="none"/>
        </w:rPr>
        <w:t>1、</w:t>
      </w:r>
      <w:r>
        <w:rPr>
          <w:rFonts w:hint="eastAsia" w:ascii="宋体" w:hAnsi="宋体" w:cs="Arial"/>
          <w:color w:val="auto"/>
          <w:szCs w:val="21"/>
          <w:highlight w:val="none"/>
          <w:lang w:eastAsia="zh-CN"/>
        </w:rPr>
        <w:t>响应人</w:t>
      </w:r>
      <w:r>
        <w:rPr>
          <w:rFonts w:ascii="宋体" w:hAnsi="宋体" w:cs="Arial"/>
          <w:color w:val="auto"/>
          <w:szCs w:val="21"/>
          <w:highlight w:val="none"/>
        </w:rPr>
        <w:t>必须将自己所</w:t>
      </w:r>
      <w:r>
        <w:rPr>
          <w:rFonts w:hint="eastAsia" w:ascii="宋体" w:hAnsi="宋体" w:cs="Arial"/>
          <w:color w:val="auto"/>
          <w:szCs w:val="21"/>
          <w:highlight w:val="none"/>
          <w:lang w:eastAsia="zh-CN"/>
        </w:rPr>
        <w:t>提供的服务</w:t>
      </w:r>
      <w:r>
        <w:rPr>
          <w:rFonts w:ascii="宋体" w:hAnsi="宋体" w:cs="Arial"/>
          <w:color w:val="auto"/>
          <w:szCs w:val="21"/>
          <w:highlight w:val="none"/>
        </w:rPr>
        <w:t>真实、准确地填入</w:t>
      </w:r>
      <w:r>
        <w:rPr>
          <w:rFonts w:hint="eastAsia" w:ascii="宋体" w:hAnsi="宋体" w:cs="Arial"/>
          <w:color w:val="auto"/>
          <w:szCs w:val="21"/>
          <w:highlight w:val="none"/>
        </w:rPr>
        <w:t>以上表格</w:t>
      </w:r>
      <w:r>
        <w:rPr>
          <w:rFonts w:ascii="宋体" w:hAnsi="宋体" w:cs="Arial"/>
          <w:color w:val="auto"/>
          <w:szCs w:val="21"/>
          <w:highlight w:val="none"/>
        </w:rPr>
        <w:t>中</w:t>
      </w:r>
      <w:r>
        <w:rPr>
          <w:rFonts w:hint="eastAsia" w:ascii="宋体" w:hAnsi="宋体" w:cs="Arial"/>
          <w:color w:val="auto"/>
          <w:szCs w:val="21"/>
          <w:highlight w:val="none"/>
        </w:rPr>
        <w:t>。</w:t>
      </w:r>
    </w:p>
    <w:p>
      <w:pPr>
        <w:numPr>
          <w:ilvl w:val="0"/>
          <w:numId w:val="9"/>
        </w:numPr>
        <w:tabs>
          <w:tab w:val="left" w:pos="1815"/>
        </w:tabs>
        <w:spacing w:line="360" w:lineRule="auto"/>
        <w:ind w:left="0" w:leftChars="0" w:firstLine="0" w:firstLineChars="0"/>
        <w:rPr>
          <w:rFonts w:ascii="宋体" w:hAnsi="宋体" w:cs="Arial"/>
          <w:color w:val="auto"/>
          <w:szCs w:val="21"/>
          <w:highlight w:val="none"/>
        </w:rPr>
      </w:pPr>
      <w:r>
        <w:rPr>
          <w:rFonts w:hint="eastAsia" w:ascii="宋体" w:hAnsi="宋体" w:cs="Arial"/>
          <w:color w:val="auto"/>
          <w:szCs w:val="21"/>
          <w:highlight w:val="none"/>
          <w:lang w:eastAsia="zh-CN"/>
        </w:rPr>
        <w:t>响应人</w:t>
      </w:r>
      <w:r>
        <w:rPr>
          <w:rFonts w:ascii="宋体" w:hAnsi="宋体" w:cs="Arial"/>
          <w:color w:val="auto"/>
          <w:szCs w:val="21"/>
          <w:highlight w:val="none"/>
        </w:rPr>
        <w:t>必须根据自己所</w:t>
      </w:r>
      <w:r>
        <w:rPr>
          <w:rFonts w:hint="eastAsia" w:ascii="宋体" w:hAnsi="宋体" w:cs="Arial"/>
          <w:color w:val="auto"/>
          <w:szCs w:val="21"/>
          <w:highlight w:val="none"/>
          <w:lang w:eastAsia="zh-CN"/>
        </w:rPr>
        <w:t>提供服务</w:t>
      </w:r>
      <w:r>
        <w:rPr>
          <w:rFonts w:ascii="宋体" w:hAnsi="宋体" w:cs="Arial"/>
          <w:color w:val="auto"/>
          <w:szCs w:val="21"/>
          <w:highlight w:val="none"/>
        </w:rPr>
        <w:t>与“</w:t>
      </w:r>
      <w:r>
        <w:rPr>
          <w:rFonts w:hint="eastAsia" w:ascii="宋体" w:hAnsi="宋体"/>
          <w:color w:val="auto"/>
          <w:szCs w:val="21"/>
          <w:highlight w:val="none"/>
          <w:lang w:eastAsia="zh-CN"/>
        </w:rPr>
        <w:t>采购需求</w:t>
      </w:r>
      <w:r>
        <w:rPr>
          <w:rFonts w:ascii="宋体" w:hAnsi="宋体" w:cs="Arial"/>
          <w:color w:val="auto"/>
          <w:szCs w:val="21"/>
          <w:highlight w:val="none"/>
        </w:rPr>
        <w:t>”的差异情况，实事求是地填写“响应情况”（</w:t>
      </w:r>
      <w:r>
        <w:rPr>
          <w:rFonts w:ascii="宋体" w:hAnsi="宋体" w:cs="Arial"/>
          <w:b/>
          <w:color w:val="auto"/>
          <w:szCs w:val="21"/>
          <w:highlight w:val="none"/>
        </w:rPr>
        <w:t>优于、满足、不满足</w:t>
      </w:r>
      <w:r>
        <w:rPr>
          <w:rFonts w:ascii="宋体" w:hAnsi="宋体" w:cs="Arial"/>
          <w:color w:val="auto"/>
          <w:szCs w:val="21"/>
          <w:highlight w:val="none"/>
        </w:rPr>
        <w:t>）。</w:t>
      </w:r>
    </w:p>
    <w:p>
      <w:pPr>
        <w:pStyle w:val="9"/>
        <w:rPr>
          <w:rFonts w:hint="eastAsia" w:eastAsia="宋体"/>
          <w:color w:val="auto"/>
          <w:highlight w:val="none"/>
          <w:lang w:val="en-US" w:eastAsia="zh-CN"/>
        </w:rPr>
      </w:pPr>
      <w:r>
        <w:rPr>
          <w:rFonts w:hint="eastAsia"/>
          <w:color w:val="auto"/>
          <w:szCs w:val="21"/>
          <w:highlight w:val="none"/>
          <w:lang w:val="en-US" w:eastAsia="zh-CN"/>
        </w:rPr>
        <w:t>3、</w:t>
      </w:r>
      <w:r>
        <w:rPr>
          <w:rFonts w:hint="eastAsia" w:ascii="宋体" w:hAnsi="宋体"/>
          <w:color w:val="auto"/>
          <w:szCs w:val="21"/>
          <w:highlight w:val="none"/>
          <w:lang w:val="en-US" w:eastAsia="zh-CN"/>
        </w:rPr>
        <w:t>响应人应按照谈判文件要求提供证明材料。若响应人提供了谈判文件未要求的证明材料，谈判小组将不予评审。</w:t>
      </w:r>
    </w:p>
    <w:p>
      <w:pPr>
        <w:pStyle w:val="9"/>
        <w:numPr>
          <w:ilvl w:val="0"/>
          <w:numId w:val="0"/>
        </w:numPr>
        <w:ind w:leftChars="0"/>
        <w:rPr>
          <w:color w:val="auto"/>
          <w:highlight w:val="none"/>
        </w:rPr>
      </w:pPr>
    </w:p>
    <w:p>
      <w:pPr>
        <w:spacing w:line="360" w:lineRule="auto"/>
        <w:ind w:firstLine="3561" w:firstLineChars="1696"/>
        <w:rPr>
          <w:rFonts w:ascii="宋体" w:hAnsi="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bookmarkEnd w:id="231"/>
    <w:p>
      <w:pPr>
        <w:spacing w:line="360" w:lineRule="auto"/>
        <w:ind w:firstLine="3600" w:firstLineChars="1500"/>
        <w:rPr>
          <w:rFonts w:hint="eastAsia" w:ascii="宋体" w:hAnsi="宋体" w:eastAsia="宋体"/>
          <w:color w:val="auto"/>
          <w:sz w:val="24"/>
          <w:highlight w:val="none"/>
          <w:u w:val="single"/>
        </w:rPr>
      </w:pPr>
      <w:bookmarkStart w:id="232" w:name="_Toc54941345"/>
      <w:bookmarkStart w:id="233" w:name="_Toc15038"/>
      <w:bookmarkStart w:id="234" w:name="_Toc476584436"/>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rPr>
          <w:rFonts w:hint="eastAsia" w:ascii="宋体" w:hAnsi="宋体" w:eastAsia="宋体"/>
          <w:color w:val="auto"/>
          <w:sz w:val="24"/>
          <w:highlight w:val="none"/>
          <w:u w:val="single"/>
        </w:rPr>
        <w:sectPr>
          <w:footerReference r:id="rId7" w:type="default"/>
          <w:pgSz w:w="11906" w:h="16838"/>
          <w:pgMar w:top="1418" w:right="1418" w:bottom="1276" w:left="1418" w:header="680" w:footer="680" w:gutter="0"/>
          <w:pgNumType w:fmt="decimal"/>
          <w:cols w:space="720" w:num="1"/>
          <w:docGrid w:type="lines" w:linePitch="312" w:charSpace="0"/>
        </w:sectPr>
      </w:pPr>
    </w:p>
    <w:p>
      <w:pPr>
        <w:rPr>
          <w:rFonts w:hint="eastAsia"/>
          <w:color w:val="auto"/>
          <w:highlight w:val="none"/>
        </w:rPr>
      </w:pPr>
    </w:p>
    <w:p>
      <w:pPr>
        <w:pStyle w:val="9"/>
        <w:numPr>
          <w:ilvl w:val="0"/>
          <w:numId w:val="10"/>
        </w:numPr>
        <w:jc w:val="center"/>
        <w:rPr>
          <w:rFonts w:cs="宋体"/>
          <w:color w:val="auto"/>
          <w:sz w:val="28"/>
          <w:szCs w:val="28"/>
          <w:highlight w:val="none"/>
        </w:rPr>
      </w:pPr>
      <w:r>
        <w:rPr>
          <w:rFonts w:hint="eastAsia" w:cs="宋体"/>
          <w:color w:val="auto"/>
          <w:sz w:val="28"/>
          <w:szCs w:val="28"/>
          <w:highlight w:val="none"/>
        </w:rPr>
        <w:t>最后报价表</w:t>
      </w:r>
      <w:bookmarkEnd w:id="232"/>
    </w:p>
    <w:p>
      <w:pPr>
        <w:pStyle w:val="5"/>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p>
      <w:pPr>
        <w:spacing w:line="360" w:lineRule="auto"/>
        <w:ind w:firstLine="6090" w:firstLineChars="2900"/>
        <w:rPr>
          <w:rFonts w:ascii="宋体"/>
          <w:color w:val="auto"/>
          <w:highlight w:val="none"/>
        </w:rPr>
      </w:pPr>
      <w:r>
        <w:rPr>
          <w:rFonts w:hint="eastAsia" w:ascii="宋体" w:hAnsi="宋体"/>
          <w:color w:val="auto"/>
          <w:highlight w:val="none"/>
        </w:rPr>
        <w:t>金额单位：人民币（元）</w:t>
      </w:r>
    </w:p>
    <w:tbl>
      <w:tblPr>
        <w:tblStyle w:val="62"/>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1650" w:type="dxa"/>
            <w:vMerge w:val="restart"/>
            <w:vAlign w:val="center"/>
          </w:tcPr>
          <w:p>
            <w:pPr>
              <w:spacing w:line="400" w:lineRule="exact"/>
              <w:jc w:val="center"/>
              <w:rPr>
                <w:color w:val="auto"/>
                <w:sz w:val="24"/>
                <w:highlight w:val="none"/>
              </w:rPr>
            </w:pPr>
            <w:r>
              <w:rPr>
                <w:rFonts w:hint="eastAsia" w:hAnsi="宋体"/>
                <w:color w:val="auto"/>
                <w:sz w:val="24"/>
                <w:highlight w:val="none"/>
              </w:rPr>
              <w:t>最后报价</w:t>
            </w:r>
          </w:p>
        </w:tc>
        <w:tc>
          <w:tcPr>
            <w:tcW w:w="6743" w:type="dxa"/>
            <w:vAlign w:val="center"/>
          </w:tcPr>
          <w:p>
            <w:pPr>
              <w:wordWrap w:val="0"/>
              <w:spacing w:line="400" w:lineRule="exact"/>
              <w:rPr>
                <w:rFonts w:hint="eastAsia" w:hAnsi="宋体"/>
                <w:color w:val="auto"/>
                <w:sz w:val="24"/>
                <w:highlight w:val="none"/>
              </w:rPr>
            </w:pPr>
          </w:p>
          <w:p>
            <w:pPr>
              <w:wordWrap w:val="0"/>
              <w:spacing w:line="400" w:lineRule="exact"/>
              <w:rPr>
                <w:rFonts w:hint="eastAsia"/>
                <w:color w:val="auto"/>
                <w:sz w:val="24"/>
                <w:highlight w:val="none"/>
                <w:lang w:val="en-US" w:eastAsia="zh-CN"/>
              </w:rPr>
            </w:pPr>
            <w:r>
              <w:rPr>
                <w:rFonts w:hint="eastAsia" w:hAnsi="宋体"/>
                <w:color w:val="auto"/>
                <w:sz w:val="24"/>
                <w:highlight w:val="none"/>
              </w:rPr>
              <w:t>大写：</w:t>
            </w:r>
            <w:r>
              <w:rPr>
                <w:color w:val="auto"/>
                <w:sz w:val="24"/>
                <w:highlight w:val="none"/>
              </w:rPr>
              <w:t xml:space="preserve"> </w:t>
            </w:r>
          </w:p>
          <w:p>
            <w:pPr>
              <w:wordWrap w:val="0"/>
              <w:spacing w:line="400" w:lineRule="exact"/>
              <w:rPr>
                <w:color w:val="auto"/>
                <w:sz w:val="24"/>
                <w:highlight w:val="none"/>
              </w:rPr>
            </w:pPr>
            <w:bookmarkStart w:id="247" w:name="_GoBack"/>
            <w:bookmarkEnd w:id="247"/>
            <w:r>
              <w:rPr>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650" w:type="dxa"/>
            <w:vMerge w:val="continue"/>
            <w:vAlign w:val="center"/>
          </w:tcPr>
          <w:p>
            <w:pPr>
              <w:spacing w:line="400" w:lineRule="exact"/>
              <w:jc w:val="center"/>
              <w:rPr>
                <w:color w:val="auto"/>
                <w:sz w:val="24"/>
                <w:highlight w:val="none"/>
              </w:rPr>
            </w:pPr>
          </w:p>
        </w:tc>
        <w:tc>
          <w:tcPr>
            <w:tcW w:w="6743" w:type="dxa"/>
            <w:vAlign w:val="center"/>
          </w:tcPr>
          <w:p>
            <w:pPr>
              <w:wordWrap w:val="0"/>
              <w:rPr>
                <w:rFonts w:hAnsi="宋体"/>
                <w:color w:val="auto"/>
                <w:sz w:val="24"/>
                <w:highlight w:val="none"/>
              </w:rPr>
            </w:pPr>
            <w:r>
              <w:rPr>
                <w:rFonts w:hint="eastAsia" w:hAnsi="宋体"/>
                <w:color w:val="auto"/>
                <w:sz w:val="24"/>
                <w:highlight w:val="none"/>
              </w:rPr>
              <w:t>小写：</w:t>
            </w:r>
            <w:r>
              <w:rPr>
                <w:rFonts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393" w:type="dxa"/>
            <w:gridSpan w:val="2"/>
            <w:vAlign w:val="center"/>
          </w:tcPr>
          <w:p>
            <w:pPr>
              <w:spacing w:line="400" w:lineRule="exact"/>
              <w:rPr>
                <w:rFonts w:hAnsi="宋体"/>
                <w:color w:val="auto"/>
                <w:sz w:val="24"/>
                <w:highlight w:val="none"/>
              </w:rPr>
            </w:pPr>
            <w:r>
              <w:rPr>
                <w:rFonts w:hint="eastAsia" w:hAnsi="宋体"/>
                <w:color w:val="auto"/>
                <w:sz w:val="24"/>
                <w:highlight w:val="none"/>
              </w:rPr>
              <w:t>备注：</w:t>
            </w:r>
          </w:p>
          <w:p>
            <w:pPr>
              <w:spacing w:line="400" w:lineRule="exact"/>
              <w:rPr>
                <w:rFonts w:hAnsi="宋体"/>
                <w:color w:val="auto"/>
                <w:sz w:val="24"/>
                <w:highlight w:val="none"/>
              </w:rPr>
            </w:pPr>
          </w:p>
        </w:tc>
      </w:tr>
    </w:tbl>
    <w:p>
      <w:pPr>
        <w:spacing w:line="360" w:lineRule="auto"/>
        <w:rPr>
          <w:rFonts w:ascii="宋体"/>
          <w:b/>
          <w:color w:val="auto"/>
          <w:sz w:val="24"/>
          <w:highlight w:val="none"/>
        </w:rPr>
      </w:pPr>
    </w:p>
    <w:p>
      <w:pPr>
        <w:spacing w:line="360" w:lineRule="auto"/>
        <w:ind w:firstLine="3465" w:firstLineChars="1650"/>
        <w:rPr>
          <w:rFonts w:ascii="宋体"/>
          <w:color w:val="auto"/>
          <w:szCs w:val="21"/>
          <w:highlight w:val="none"/>
        </w:rPr>
      </w:pPr>
    </w:p>
    <w:p>
      <w:pPr>
        <w:pStyle w:val="9"/>
        <w:rPr>
          <w:rFonts w:ascii="宋体"/>
          <w:color w:val="auto"/>
          <w:szCs w:val="21"/>
          <w:highlight w:val="none"/>
        </w:rPr>
      </w:pPr>
    </w:p>
    <w:p>
      <w:pPr>
        <w:rPr>
          <w:rFonts w:ascii="宋体"/>
          <w:color w:val="auto"/>
          <w:szCs w:val="21"/>
          <w:highlight w:val="none"/>
        </w:rPr>
      </w:pPr>
    </w:p>
    <w:p>
      <w:pPr>
        <w:pStyle w:val="9"/>
        <w:rPr>
          <w:color w:val="auto"/>
          <w:highlight w:val="none"/>
        </w:rPr>
      </w:pPr>
    </w:p>
    <w:p>
      <w:pPr>
        <w:pStyle w:val="9"/>
        <w:rPr>
          <w:rFonts w:ascii="宋体"/>
          <w:color w:val="auto"/>
          <w:szCs w:val="21"/>
          <w:highlight w:val="none"/>
        </w:rPr>
      </w:pPr>
    </w:p>
    <w:p>
      <w:pPr>
        <w:rPr>
          <w:color w:val="auto"/>
          <w:highlight w:val="none"/>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bookmarkEnd w:id="233"/>
    <w:bookmarkEnd w:id="234"/>
    <w:p>
      <w:pPr>
        <w:rPr>
          <w:rFonts w:hint="eastAsia" w:cs="宋体"/>
          <w:b/>
          <w:bCs/>
          <w:color w:val="auto"/>
          <w:sz w:val="28"/>
          <w:szCs w:val="28"/>
          <w:highlight w:val="none"/>
          <w:lang w:eastAsia="zh-CN"/>
        </w:rPr>
      </w:pPr>
      <w:bookmarkStart w:id="235" w:name="_Toc20013"/>
      <w:bookmarkStart w:id="236" w:name="_Toc2920"/>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jc w:val="center"/>
        <w:rPr>
          <w:rFonts w:hint="eastAsia" w:cs="宋体"/>
          <w:b/>
          <w:bCs/>
          <w:color w:val="auto"/>
          <w:sz w:val="28"/>
          <w:szCs w:val="28"/>
          <w:highlight w:val="none"/>
          <w:lang w:eastAsia="zh-CN"/>
        </w:rPr>
      </w:pPr>
    </w:p>
    <w:p>
      <w:pPr>
        <w:jc w:val="center"/>
        <w:rPr>
          <w:rFonts w:hint="default" w:cs="宋体"/>
          <w:b/>
          <w:bCs/>
          <w:color w:val="auto"/>
          <w:sz w:val="28"/>
          <w:szCs w:val="28"/>
          <w:highlight w:val="none"/>
          <w:lang w:val="en-US" w:eastAsia="zh-CN"/>
        </w:rPr>
      </w:pPr>
      <w:r>
        <w:rPr>
          <w:rFonts w:hint="eastAsia" w:cs="宋体"/>
          <w:b/>
          <w:bCs/>
          <w:color w:val="auto"/>
          <w:sz w:val="28"/>
          <w:szCs w:val="28"/>
          <w:highlight w:val="none"/>
          <w:lang w:val="en-US" w:eastAsia="zh-CN"/>
        </w:rPr>
        <w:t>五</w:t>
      </w:r>
      <w:r>
        <w:rPr>
          <w:rFonts w:hint="eastAsia" w:cs="宋体"/>
          <w:b/>
          <w:bCs/>
          <w:color w:val="auto"/>
          <w:sz w:val="28"/>
          <w:szCs w:val="28"/>
          <w:highlight w:val="none"/>
        </w:rPr>
        <w:t>、</w:t>
      </w:r>
      <w:bookmarkEnd w:id="235"/>
      <w:bookmarkEnd w:id="236"/>
      <w:r>
        <w:rPr>
          <w:rFonts w:hint="eastAsia" w:cs="宋体"/>
          <w:b/>
          <w:bCs/>
          <w:color w:val="auto"/>
          <w:sz w:val="28"/>
          <w:szCs w:val="28"/>
          <w:highlight w:val="none"/>
          <w:lang w:val="en-US" w:eastAsia="zh-CN"/>
        </w:rPr>
        <w:t>服务及技术方案</w:t>
      </w:r>
    </w:p>
    <w:p>
      <w:pPr>
        <w:spacing w:line="360" w:lineRule="auto"/>
        <w:ind w:firstLine="420" w:firstLineChars="200"/>
        <w:jc w:val="center"/>
        <w:rPr>
          <w:rFonts w:ascii="仿宋" w:hAnsi="仿宋" w:eastAsia="仿宋"/>
          <w:color w:val="auto"/>
          <w:szCs w:val="21"/>
          <w:highlight w:val="none"/>
        </w:rPr>
      </w:pPr>
    </w:p>
    <w:p>
      <w:pPr>
        <w:spacing w:line="360" w:lineRule="auto"/>
        <w:ind w:firstLine="435"/>
        <w:jc w:val="center"/>
        <w:rPr>
          <w:color w:val="auto"/>
          <w:highlight w:val="none"/>
        </w:rPr>
      </w:pPr>
      <w:r>
        <w:rPr>
          <w:rFonts w:hint="eastAsia"/>
          <w:color w:val="auto"/>
          <w:highlight w:val="none"/>
          <w:lang w:val="en-US" w:eastAsia="zh-CN"/>
        </w:rPr>
        <w:t>(响应人可自行制作格式)</w:t>
      </w:r>
    </w:p>
    <w:p>
      <w:pPr>
        <w:spacing w:line="360" w:lineRule="auto"/>
        <w:ind w:firstLine="435"/>
        <w:rPr>
          <w:color w:val="auto"/>
          <w:highlight w:val="none"/>
        </w:rPr>
      </w:pPr>
    </w:p>
    <w:p>
      <w:pPr>
        <w:spacing w:line="360" w:lineRule="auto"/>
        <w:ind w:firstLine="435"/>
        <w:rPr>
          <w:color w:val="auto"/>
          <w:highlight w:val="none"/>
        </w:rPr>
      </w:pPr>
    </w:p>
    <w:p>
      <w:pPr>
        <w:rPr>
          <w:color w:val="auto"/>
          <w:highlight w:val="none"/>
        </w:rPr>
      </w:pPr>
      <w:r>
        <w:rPr>
          <w:color w:val="auto"/>
          <w:highlight w:val="none"/>
        </w:rPr>
        <w:br w:type="page"/>
      </w:r>
    </w:p>
    <w:p>
      <w:pPr>
        <w:keepNext w:val="0"/>
        <w:keepLines w:val="0"/>
        <w:widowControl/>
        <w:numPr>
          <w:ilvl w:val="0"/>
          <w:numId w:val="0"/>
        </w:numPr>
        <w:suppressLineNumbers w:val="0"/>
        <w:jc w:val="center"/>
        <w:rPr>
          <w:rFonts w:hint="eastAsia" w:ascii="宋体" w:hAnsi="宋体" w:eastAsia="宋体" w:cs="宋体"/>
          <w:b/>
          <w:color w:val="auto"/>
          <w:kern w:val="2"/>
          <w:sz w:val="28"/>
          <w:szCs w:val="28"/>
          <w:highlight w:val="none"/>
          <w:shd w:val="clear" w:color="auto" w:fill="FFFFFF"/>
          <w:lang w:val="en-US" w:eastAsia="zh-CN" w:bidi="ar-SA"/>
        </w:rPr>
      </w:pPr>
      <w:bookmarkStart w:id="237" w:name="_Toc28007"/>
      <w:bookmarkStart w:id="238" w:name="_Toc25547"/>
      <w:r>
        <w:rPr>
          <w:rFonts w:hint="eastAsia" w:ascii="宋体" w:hAnsi="宋体" w:cs="宋体"/>
          <w:b/>
          <w:color w:val="auto"/>
          <w:kern w:val="2"/>
          <w:sz w:val="28"/>
          <w:szCs w:val="28"/>
          <w:highlight w:val="none"/>
          <w:shd w:val="clear" w:color="auto" w:fill="FFFFFF"/>
          <w:lang w:val="en-US" w:eastAsia="zh-CN" w:bidi="ar-SA"/>
        </w:rPr>
        <w:t>六</w:t>
      </w:r>
      <w:r>
        <w:rPr>
          <w:rFonts w:hint="eastAsia" w:ascii="宋体" w:hAnsi="宋体" w:eastAsia="宋体" w:cs="宋体"/>
          <w:b/>
          <w:color w:val="auto"/>
          <w:kern w:val="2"/>
          <w:sz w:val="28"/>
          <w:szCs w:val="28"/>
          <w:highlight w:val="none"/>
          <w:shd w:val="clear" w:color="auto" w:fill="FFFFFF"/>
          <w:lang w:val="en-US" w:eastAsia="zh-CN" w:bidi="ar-SA"/>
        </w:rPr>
        <w:t>、诚信</w:t>
      </w:r>
      <w:r>
        <w:rPr>
          <w:rFonts w:hint="eastAsia" w:ascii="宋体" w:hAnsi="宋体" w:cs="宋体"/>
          <w:b/>
          <w:color w:val="auto"/>
          <w:kern w:val="2"/>
          <w:sz w:val="28"/>
          <w:szCs w:val="28"/>
          <w:highlight w:val="none"/>
          <w:shd w:val="clear" w:color="auto" w:fill="FFFFFF"/>
          <w:lang w:val="en-US" w:eastAsia="zh-CN" w:bidi="ar-SA"/>
        </w:rPr>
        <w:t>响应</w:t>
      </w:r>
      <w:r>
        <w:rPr>
          <w:rFonts w:hint="eastAsia" w:ascii="宋体" w:hAnsi="宋体" w:eastAsia="宋体" w:cs="宋体"/>
          <w:b/>
          <w:color w:val="auto"/>
          <w:kern w:val="2"/>
          <w:sz w:val="28"/>
          <w:szCs w:val="28"/>
          <w:highlight w:val="none"/>
          <w:shd w:val="clear" w:color="auto" w:fill="FFFFFF"/>
          <w:lang w:val="en-US" w:eastAsia="zh-CN" w:bidi="ar-SA"/>
        </w:rPr>
        <w:t>承诺书</w:t>
      </w:r>
      <w:bookmarkEnd w:id="237"/>
      <w:bookmarkEnd w:id="238"/>
    </w:p>
    <w:p>
      <w:pPr>
        <w:rPr>
          <w:rFonts w:ascii="仿宋" w:hAnsi="仿宋" w:eastAsia="仿宋" w:cs="仿宋"/>
          <w:b/>
          <w:bCs/>
          <w:color w:val="auto"/>
          <w:sz w:val="24"/>
          <w:highlight w:val="none"/>
        </w:rPr>
      </w:pP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w:t>
      </w:r>
      <w:r>
        <w:rPr>
          <w:rFonts w:hint="eastAsia" w:ascii="仿宋" w:hAnsi="仿宋" w:eastAsia="仿宋" w:cs="仿宋"/>
          <w:b/>
          <w:bCs/>
          <w:color w:val="auto"/>
          <w:sz w:val="24"/>
          <w:highlight w:val="none"/>
          <w:lang w:val="en-US" w:eastAsia="zh-CN"/>
        </w:rPr>
        <w:t>单位</w:t>
      </w:r>
      <w:r>
        <w:rPr>
          <w:rFonts w:hint="eastAsia" w:ascii="仿宋" w:hAnsi="仿宋" w:eastAsia="仿宋" w:cs="仿宋"/>
          <w:b/>
          <w:bCs/>
          <w:color w:val="auto"/>
          <w:sz w:val="24"/>
          <w:highlight w:val="none"/>
        </w:rPr>
        <w:t>郑重承诺：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一、将遵循公开、公正和诚实信用的原则自愿参加</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项目的</w:t>
      </w:r>
      <w:r>
        <w:rPr>
          <w:rFonts w:hint="eastAsia" w:ascii="仿宋" w:hAnsi="仿宋" w:eastAsia="仿宋" w:cs="仿宋"/>
          <w:b/>
          <w:bCs/>
          <w:strike w:val="0"/>
          <w:dstrike w:val="0"/>
          <w:color w:val="auto"/>
          <w:sz w:val="24"/>
          <w:highlight w:val="none"/>
          <w:lang w:eastAsia="zh-CN"/>
        </w:rPr>
        <w:t>采购活动</w:t>
      </w:r>
      <w:r>
        <w:rPr>
          <w:rFonts w:hint="eastAsia" w:ascii="仿宋" w:hAnsi="仿宋" w:eastAsia="仿宋" w:cs="仿宋"/>
          <w:b/>
          <w:bCs/>
          <w:color w:val="auto"/>
          <w:sz w:val="24"/>
          <w:highlight w:val="none"/>
        </w:rPr>
        <w:t>；</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三、不出借、转让资质证书，不让他人挂靠，不以他人名义</w:t>
      </w:r>
      <w:r>
        <w:rPr>
          <w:rFonts w:hint="eastAsia" w:ascii="仿宋" w:hAnsi="仿宋" w:eastAsia="仿宋" w:cs="仿宋"/>
          <w:b/>
          <w:bCs/>
          <w:strike w:val="0"/>
          <w:dstrike w:val="0"/>
          <w:color w:val="auto"/>
          <w:sz w:val="24"/>
          <w:highlight w:val="none"/>
          <w:lang w:eastAsia="zh-CN"/>
        </w:rPr>
        <w:t>参加采购活动</w:t>
      </w:r>
      <w:r>
        <w:rPr>
          <w:rFonts w:hint="eastAsia" w:ascii="仿宋" w:hAnsi="仿宋" w:eastAsia="仿宋" w:cs="仿宋"/>
          <w:b/>
          <w:bCs/>
          <w:color w:val="auto"/>
          <w:sz w:val="24"/>
          <w:highlight w:val="none"/>
        </w:rPr>
        <w:t>或者以其他方式弄虚作假，骗取中标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 xml:space="preserve">；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四、不与其他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相互串通报价，不排挤其他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 xml:space="preserve">的公平竞争、损害采购人的合法权益；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五、不与采购单位或其他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串通</w:t>
      </w:r>
      <w:r>
        <w:rPr>
          <w:rFonts w:hint="eastAsia" w:ascii="仿宋" w:hAnsi="仿宋" w:eastAsia="仿宋" w:cs="仿宋"/>
          <w:b/>
          <w:bCs/>
          <w:color w:val="auto"/>
          <w:sz w:val="24"/>
          <w:highlight w:val="none"/>
          <w:lang w:val="en-US" w:eastAsia="zh-CN"/>
        </w:rPr>
        <w:t>参加采购活动</w:t>
      </w:r>
      <w:r>
        <w:rPr>
          <w:rFonts w:hint="eastAsia" w:ascii="仿宋" w:hAnsi="仿宋" w:eastAsia="仿宋" w:cs="仿宋"/>
          <w:b/>
          <w:bCs/>
          <w:color w:val="auto"/>
          <w:sz w:val="24"/>
          <w:highlight w:val="none"/>
        </w:rPr>
        <w:t xml:space="preserve">，损害国家利益、社会公共利益或者他人的合法权益；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后不转包，若有合法分包征得采购人同意；</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之后，按照</w:t>
      </w: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承诺提供货物、服务及派驻人员；</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、保证企业及所属相关人员在本次</w:t>
      </w:r>
      <w:r>
        <w:rPr>
          <w:rFonts w:hint="eastAsia" w:ascii="仿宋" w:hAnsi="仿宋" w:eastAsia="仿宋" w:cs="仿宋"/>
          <w:b/>
          <w:bCs/>
          <w:color w:val="auto"/>
          <w:sz w:val="24"/>
          <w:highlight w:val="none"/>
          <w:lang w:eastAsia="zh-CN"/>
        </w:rPr>
        <w:t>采购活动</w:t>
      </w:r>
      <w:r>
        <w:rPr>
          <w:rFonts w:hint="eastAsia" w:ascii="仿宋" w:hAnsi="仿宋" w:eastAsia="仿宋" w:cs="仿宋"/>
          <w:b/>
          <w:bCs/>
          <w:color w:val="auto"/>
          <w:sz w:val="24"/>
          <w:highlight w:val="none"/>
        </w:rPr>
        <w:t>中无行贿等犯罪行为；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highlight w:val="none"/>
        </w:rPr>
        <w:t>、我单位在安徽省公共资源交易市场主体库中录入的信息真实，无编造虚假信息。一旦发现弄虚作假将按《诚信承诺书》和有关法律法规中的规定接受处理。</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十、如</w:t>
      </w:r>
      <w:r>
        <w:rPr>
          <w:rFonts w:hint="eastAsia" w:ascii="仿宋" w:hAnsi="仿宋" w:eastAsia="仿宋" w:cs="仿宋"/>
          <w:b/>
          <w:bCs/>
          <w:strike w:val="0"/>
          <w:dstrike w:val="0"/>
          <w:color w:val="auto"/>
          <w:sz w:val="24"/>
          <w:highlight w:val="none"/>
          <w:lang w:eastAsia="zh-CN"/>
        </w:rPr>
        <w:t>对采购过程或采购结果提出投诉，</w:t>
      </w:r>
      <w:r>
        <w:rPr>
          <w:rFonts w:hint="eastAsia" w:ascii="仿宋" w:hAnsi="仿宋" w:eastAsia="仿宋" w:cs="仿宋"/>
          <w:b/>
          <w:bCs/>
          <w:color w:val="auto"/>
          <w:sz w:val="24"/>
          <w:highlight w:val="none"/>
        </w:rPr>
        <w:t>保证按照</w:t>
      </w:r>
      <w:r>
        <w:rPr>
          <w:rFonts w:hint="eastAsia" w:ascii="仿宋" w:hAnsi="仿宋" w:eastAsia="仿宋" w:cs="仿宋"/>
          <w:b/>
          <w:bCs/>
          <w:strike w:val="0"/>
          <w:dstrike w:val="0"/>
          <w:color w:val="auto"/>
          <w:sz w:val="24"/>
          <w:highlight w:val="none"/>
          <w:lang w:eastAsia="zh-CN"/>
        </w:rPr>
        <w:t>《政府采购质疑和投诉办法》</w:t>
      </w:r>
      <w:r>
        <w:rPr>
          <w:rFonts w:hint="eastAsia" w:ascii="仿宋" w:hAnsi="仿宋" w:eastAsia="仿宋" w:cs="仿宋"/>
          <w:b/>
          <w:bCs/>
          <w:color w:val="auto"/>
          <w:sz w:val="24"/>
          <w:highlight w:val="none"/>
        </w:rPr>
        <w:t xml:space="preserve">要求进行。投诉内容符合要求，投诉材料加盖企业公章或由法定代表人或其委托代理人签字，并附有关身份证明。不恶意投诉，对本公司提供的投诉线索的真实性负责。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、我方保证对本次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活动有任何</w:t>
      </w:r>
      <w:r>
        <w:rPr>
          <w:rFonts w:hint="eastAsia" w:ascii="仿宋" w:hAnsi="仿宋" w:eastAsia="仿宋" w:cs="仿宋"/>
          <w:b/>
          <w:bCs/>
          <w:color w:val="auto"/>
          <w:sz w:val="24"/>
          <w:highlight w:val="none"/>
          <w:lang w:val="en-US" w:eastAsia="zh-CN"/>
        </w:rPr>
        <w:t>质疑</w:t>
      </w:r>
      <w:r>
        <w:rPr>
          <w:rFonts w:hint="eastAsia" w:ascii="仿宋" w:hAnsi="仿宋" w:eastAsia="仿宋" w:cs="仿宋"/>
          <w:b/>
          <w:bCs/>
          <w:color w:val="auto"/>
          <w:sz w:val="24"/>
          <w:highlight w:val="none"/>
        </w:rPr>
        <w:t>或投诉，都依法在规定的时间内提出。否则，不针对本次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活动提出任何质疑或投诉。</w:t>
      </w:r>
    </w:p>
    <w:p>
      <w:pPr>
        <w:spacing w:line="440" w:lineRule="exact"/>
        <w:ind w:firstLine="482" w:firstLineChars="200"/>
        <w:rPr>
          <w:rFonts w:ascii="仿宋" w:hAnsi="仿宋" w:eastAsia="仿宋" w:cs="仿宋"/>
          <w:b/>
          <w:bCs/>
          <w:color w:val="auto"/>
          <w:sz w:val="22"/>
          <w:szCs w:val="22"/>
          <w:highlight w:val="none"/>
        </w:rPr>
      </w:pPr>
      <w:r>
        <w:rPr>
          <w:rFonts w:hint="eastAsia" w:ascii="仿宋" w:hAnsi="仿宋" w:eastAsia="仿宋" w:cs="仿宋"/>
          <w:b/>
          <w:bCs/>
          <w:color w:val="auto"/>
          <w:sz w:val="24"/>
          <w:highlight w:val="none"/>
        </w:rPr>
        <w:t>以上内容我已仔细阅读，本公司若有违反承诺内容的行为，自愿承担</w:t>
      </w:r>
      <w:r>
        <w:rPr>
          <w:rFonts w:hint="eastAsia" w:ascii="仿宋" w:hAnsi="仿宋" w:eastAsia="仿宋" w:cs="仿宋"/>
          <w:b/>
          <w:bCs/>
          <w:color w:val="auto"/>
          <w:sz w:val="24"/>
          <w:highlight w:val="none"/>
          <w:lang w:eastAsia="zh-CN"/>
        </w:rPr>
        <w:t>谈判 文件</w:t>
      </w:r>
      <w:r>
        <w:rPr>
          <w:rFonts w:hint="eastAsia" w:ascii="仿宋" w:hAnsi="仿宋" w:eastAsia="仿宋" w:cs="仿宋"/>
          <w:b/>
          <w:bCs/>
          <w:color w:val="auto"/>
          <w:sz w:val="24"/>
          <w:highlight w:val="none"/>
        </w:rPr>
        <w:t>确定的责任和法律责任并接受相关行政部门给予的处理和处罚。给采购人造成损失的，依法承担赔偿责任。</w:t>
      </w:r>
    </w:p>
    <w:p>
      <w:pPr>
        <w:pStyle w:val="9"/>
        <w:rPr>
          <w:rFonts w:hint="eastAsia" w:ascii="仿宋" w:hAnsi="仿宋" w:eastAsia="仿宋" w:cs="仿宋"/>
          <w:b/>
          <w:bCs/>
          <w:color w:val="auto"/>
          <w:sz w:val="24"/>
          <w:highlight w:val="none"/>
        </w:rPr>
      </w:pPr>
    </w:p>
    <w:p>
      <w:pPr>
        <w:rPr>
          <w:color w:val="auto"/>
          <w:highlight w:val="none"/>
        </w:rPr>
      </w:pP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lang w:val="en-US" w:eastAsia="zh-CN"/>
        </w:rPr>
        <w:t>供应商</w:t>
      </w:r>
      <w:r>
        <w:rPr>
          <w:rFonts w:hint="eastAsia" w:ascii="宋体" w:hAnsi="宋体"/>
          <w:b/>
          <w:bCs/>
          <w:color w:val="auto"/>
          <w:sz w:val="24"/>
          <w:highlight w:val="none"/>
          <w:lang w:val="en-US" w:eastAsia="zh-CN"/>
        </w:rPr>
        <w:t>签章</w:t>
      </w:r>
      <w:r>
        <w:rPr>
          <w:rFonts w:hint="eastAsia" w:ascii="宋体" w:hAnsi="宋体" w:eastAsia="宋体"/>
          <w:b/>
          <w:bCs/>
          <w:color w:val="auto"/>
          <w:sz w:val="24"/>
          <w:highlight w:val="none"/>
        </w:rPr>
        <w:t>：</w:t>
      </w:r>
      <w:r>
        <w:rPr>
          <w:rFonts w:hint="eastAsia" w:ascii="宋体" w:hAnsi="宋体" w:eastAsia="宋体"/>
          <w:b/>
          <w:bCs/>
          <w:color w:val="auto"/>
          <w:sz w:val="24"/>
          <w:highlight w:val="none"/>
          <w:u w:val="singl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rPr>
        <w:t>日          期：</w:t>
      </w:r>
      <w:r>
        <w:rPr>
          <w:rFonts w:hint="eastAsia" w:ascii="宋体" w:hAnsi="宋体" w:eastAsia="宋体"/>
          <w:b/>
          <w:bCs/>
          <w:color w:val="auto"/>
          <w:sz w:val="24"/>
          <w:highlight w:val="none"/>
          <w:u w:val="single"/>
        </w:rPr>
        <w:t xml:space="preserve">                      </w:t>
      </w:r>
    </w:p>
    <w:p>
      <w:pPr>
        <w:ind w:right="480"/>
        <w:jc w:val="right"/>
        <w:rPr>
          <w:rFonts w:ascii="仿宋" w:hAnsi="仿宋" w:eastAsia="仿宋" w:cs="仿宋"/>
          <w:b/>
          <w:bCs/>
          <w:color w:val="auto"/>
          <w:sz w:val="24"/>
          <w:highlight w:val="none"/>
        </w:rPr>
      </w:pPr>
    </w:p>
    <w:p>
      <w:pPr>
        <w:rPr>
          <w:rFonts w:hint="eastAsia" w:hAnsi="宋体"/>
          <w:color w:val="auto"/>
          <w:sz w:val="28"/>
          <w:szCs w:val="28"/>
          <w:highlight w:val="none"/>
          <w:lang w:val="en-US" w:eastAsia="zh-CN"/>
        </w:rPr>
      </w:pPr>
      <w:bookmarkStart w:id="239" w:name="_Toc7076"/>
      <w:r>
        <w:rPr>
          <w:rFonts w:hint="eastAsia" w:hAnsi="宋体"/>
          <w:color w:val="auto"/>
          <w:sz w:val="28"/>
          <w:szCs w:val="28"/>
          <w:highlight w:val="none"/>
          <w:lang w:val="en-US" w:eastAsia="zh-CN"/>
        </w:rPr>
        <w:br w:type="page"/>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七、中小企业声明函(服务)</w:t>
      </w:r>
      <w:bookmarkEnd w:id="23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i/>
          <w:color w:val="auto"/>
          <w:sz w:val="24"/>
          <w:szCs w:val="24"/>
          <w:highlight w:val="none"/>
          <w:lang w:val="zh-CN"/>
        </w:rPr>
      </w:pPr>
      <w:r>
        <w:rPr>
          <w:rFonts w:hint="eastAsia" w:asciiTheme="minorEastAsia" w:hAnsiTheme="minorEastAsia" w:eastAsiaTheme="minorEastAsia"/>
          <w:i/>
          <w:color w:val="auto"/>
          <w:sz w:val="24"/>
          <w:szCs w:val="24"/>
          <w:highlight w:val="none"/>
          <w:lang w:val="zh-CN"/>
        </w:rPr>
        <w:t>（非中小企业投标，不需此件）</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本公司（联合体）郑重声明，根据《政府采购促进中小企业发展管理办法》（财库﹝2020﹞46号）的规定，本公司（联合体）参加</w:t>
      </w:r>
      <w:r>
        <w:rPr>
          <w:rFonts w:hint="eastAsia" w:ascii="宋体" w:hAnsi="宋体" w:eastAsia="宋体"/>
          <w:color w:val="auto"/>
          <w:sz w:val="24"/>
          <w:szCs w:val="24"/>
          <w:highlight w:val="none"/>
          <w:u w:val="single"/>
          <w:lang w:val="zh-CN"/>
        </w:rPr>
        <w:t>（单位名称）</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（某项目）</w:t>
      </w:r>
      <w:r>
        <w:rPr>
          <w:rFonts w:hint="eastAsia" w:ascii="宋体" w:hAnsi="宋体" w:eastAsia="宋体"/>
          <w:color w:val="auto"/>
          <w:sz w:val="24"/>
          <w:szCs w:val="24"/>
          <w:highlight w:val="none"/>
          <w:lang w:val="zh-CN"/>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1.</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Theme="minorEastAsia" w:hAnsiTheme="minorEastAsia" w:eastAsiaTheme="minorEastAsia"/>
          <w:color w:val="auto"/>
          <w:sz w:val="24"/>
          <w:szCs w:val="24"/>
          <w:highlight w:val="none"/>
        </w:rPr>
      </w:pPr>
      <w:r>
        <w:rPr>
          <w:rFonts w:hint="eastAsia" w:ascii="宋体" w:hAnsi="宋体" w:eastAsia="宋体"/>
          <w:color w:val="auto"/>
          <w:sz w:val="24"/>
          <w:szCs w:val="24"/>
          <w:highlight w:val="none"/>
          <w:lang w:val="zh-CN"/>
        </w:rPr>
        <w:t xml:space="preserve">本企业对上述声明内容的真实性负责。如有虚假，将依法承担相应责任。 </w:t>
      </w:r>
    </w:p>
    <w:p>
      <w:pPr>
        <w:pStyle w:val="9"/>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28" w:firstLineChars="1762"/>
        <w:textAlignment w:val="auto"/>
        <w:rPr>
          <w:rFonts w:hint="default" w:asciiTheme="minorEastAsia" w:hAnsiTheme="minorEastAsia" w:eastAsiaTheme="minorEastAsia"/>
          <w:color w:val="auto"/>
          <w:sz w:val="24"/>
          <w:szCs w:val="24"/>
          <w:highlight w:val="none"/>
          <w:u w:val="single"/>
          <w:lang w:val="en-US" w:eastAsia="zh-CN"/>
        </w:rPr>
      </w:pPr>
      <w:r>
        <w:rPr>
          <w:rFonts w:hint="eastAsia" w:asciiTheme="minorEastAsia" w:hAnsiTheme="minorEastAsia" w:eastAsiaTheme="minorEastAsia"/>
          <w:color w:val="auto"/>
          <w:sz w:val="24"/>
          <w:szCs w:val="24"/>
          <w:highlight w:val="none"/>
          <w:lang w:val="en-US" w:eastAsia="zh-CN"/>
        </w:rPr>
        <w:t>供应商签章</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val="en-US" w:eastAsia="zh-CN"/>
        </w:rPr>
        <w:t xml:space="preserve">                 </w:t>
      </w:r>
    </w:p>
    <w:p>
      <w:pPr>
        <w:spacing w:line="360" w:lineRule="auto"/>
        <w:ind w:firstLine="4320" w:firstLineChars="1800"/>
        <w:rPr>
          <w:rFonts w:asciiTheme="minorEastAsia" w:hAnsiTheme="minorEastAsia" w:eastAsiaTheme="minorEastAsia"/>
          <w:color w:val="auto"/>
          <w:sz w:val="24"/>
          <w:szCs w:val="24"/>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tabs>
          <w:tab w:val="left" w:pos="4620"/>
        </w:tabs>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备注：</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1.从业人员、营业收入、资产总额填报上一年数据，无上一年数据的新成立企业可不填报。</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lang w:val="en-US" w:eastAsia="zh-CN"/>
        </w:rPr>
        <w:t>供应商应根据《政府采购促进中小企业发展管理办法》（财库﹝2020﹞46 号）和《关于印发中小企业划型标准规定的通知》(工信部联企业〔2011〕300 号)相关规定，如实填写中小企业声明函。如有虚假，将依法承担相应责任。供应商可自行登录工业和信息化部官网进行中小企业规模类型自测（查询网址 https://www.miit.gov.cn/）。</w:t>
      </w:r>
    </w:p>
    <w:p>
      <w:pPr>
        <w:tabs>
          <w:tab w:val="left" w:pos="4620"/>
        </w:tabs>
        <w:spacing w:line="360" w:lineRule="auto"/>
        <w:jc w:val="left"/>
        <w:rPr>
          <w:rFonts w:ascii="宋体" w:hAnsi="宋体"/>
          <w:color w:val="auto"/>
          <w:sz w:val="28"/>
          <w:szCs w:val="22"/>
          <w:highlight w:val="none"/>
        </w:rPr>
      </w:pPr>
      <w:r>
        <w:rPr>
          <w:rFonts w:asciiTheme="minorEastAsia" w:hAnsiTheme="minorEastAsia" w:eastAsiaTheme="minorEastAsia"/>
          <w:color w:val="auto"/>
          <w:szCs w:val="24"/>
          <w:highlight w:val="none"/>
        </w:rPr>
        <w:t>3.如</w:t>
      </w:r>
      <w:r>
        <w:rPr>
          <w:rFonts w:hint="eastAsia" w:asciiTheme="minorEastAsia" w:hAnsiTheme="minorEastAsia" w:eastAsiaTheme="minorEastAsia"/>
          <w:color w:val="auto"/>
          <w:szCs w:val="24"/>
          <w:highlight w:val="none"/>
          <w:lang w:val="en-US" w:eastAsia="zh-CN"/>
        </w:rPr>
        <w:t>供应商</w:t>
      </w:r>
      <w:r>
        <w:rPr>
          <w:rFonts w:asciiTheme="minorEastAsia" w:hAnsiTheme="minorEastAsia" w:eastAsiaTheme="minorEastAsia"/>
          <w:color w:val="auto"/>
          <w:szCs w:val="24"/>
          <w:highlight w:val="none"/>
        </w:rPr>
        <w:t>提供的《中小企业声明函》内容不实，属于“隐瞒真实情况，提供虚假资料”情形的，将依照有关规定追究相应责任。</w:t>
      </w:r>
    </w:p>
    <w:p>
      <w:pPr>
        <w:pStyle w:val="9"/>
        <w:shd w:val="clear" w:color="auto" w:fill="FFFFFF"/>
        <w:jc w:val="center"/>
        <w:rPr>
          <w:rFonts w:hint="eastAsia"/>
          <w:color w:val="auto"/>
          <w:sz w:val="28"/>
          <w:szCs w:val="28"/>
          <w:highlight w:val="none"/>
          <w:lang w:val="en-US" w:eastAsia="zh-CN"/>
        </w:rPr>
      </w:pPr>
      <w:bookmarkStart w:id="240" w:name="_Toc9439"/>
      <w:r>
        <w:rPr>
          <w:rFonts w:hint="eastAsia"/>
          <w:color w:val="auto"/>
          <w:sz w:val="28"/>
          <w:szCs w:val="28"/>
          <w:highlight w:val="none"/>
          <w:lang w:val="en-US" w:eastAsia="zh-CN"/>
        </w:rPr>
        <w:t>八、残疾人福利性单位声明函</w:t>
      </w:r>
      <w:bookmarkEnd w:id="240"/>
    </w:p>
    <w:p>
      <w:pPr>
        <w:spacing w:after="134" w:line="259" w:lineRule="auto"/>
        <w:ind w:left="297" w:hanging="10"/>
        <w:jc w:val="center"/>
        <w:rPr>
          <w:color w:val="auto"/>
          <w:highlight w:val="none"/>
        </w:rPr>
      </w:pPr>
      <w:r>
        <w:rPr>
          <w:color w:val="auto"/>
          <w:sz w:val="25"/>
          <w:highlight w:val="none"/>
        </w:rPr>
        <w:t xml:space="preserve">（非残疾人福利性单位，不需此件） </w:t>
      </w:r>
      <w:r>
        <w:rPr>
          <w:color w:val="auto"/>
          <w:highlight w:val="none"/>
        </w:rPr>
        <w:t xml:space="preserve">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本单位郑重声明，根据《财政部 民政部 中国残疾人联合会关于促进残疾人就业政府采购政策的通知》（财库〔2017〕141号）的规定，本单位为□ 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勾选）条件的残疾人福利性单位，且本单位参加本项目采购活动提供本单位制造的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，或者提供其他□符合□不符合（对应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勾选）残疾人福利性单位制造的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（不包括使用非残疾人福利性单位注册商标的货物）。</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 xml:space="preserve">本单位对上述声明的真实性负责。如有虚假，将依法承担相应责任。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p>
    <w:p>
      <w:pPr>
        <w:spacing w:line="360" w:lineRule="auto"/>
        <w:ind w:firstLine="4228" w:firstLineChars="1762"/>
        <w:rPr>
          <w:rFonts w:ascii="宋体" w:hAnsi="宋体"/>
          <w:b w:val="0"/>
          <w:bCs/>
          <w:color w:val="auto"/>
          <w:sz w:val="24"/>
          <w:highlight w:val="none"/>
        </w:rPr>
      </w:pPr>
      <w:r>
        <w:rPr>
          <w:rFonts w:hint="eastAsia" w:ascii="宋体" w:hAnsi="宋体"/>
          <w:b w:val="0"/>
          <w:bCs/>
          <w:color w:val="auto"/>
          <w:sz w:val="24"/>
          <w:highlight w:val="none"/>
          <w:lang w:val="en-US" w:eastAsia="zh-CN"/>
        </w:rPr>
        <w:t>供应商签章</w:t>
      </w:r>
      <w:r>
        <w:rPr>
          <w:rFonts w:hint="eastAsia" w:ascii="宋体" w:hAnsi="宋体"/>
          <w:b w:val="0"/>
          <w:bCs/>
          <w:color w:val="auto"/>
          <w:sz w:val="24"/>
          <w:highlight w:val="none"/>
        </w:rPr>
        <w:t>：_________________</w:t>
      </w:r>
      <w:r>
        <w:rPr>
          <w:rFonts w:ascii="宋体" w:hAnsi="宋体"/>
          <w:b w:val="0"/>
          <w:bCs/>
          <w:color w:val="auto"/>
          <w:sz w:val="24"/>
          <w:highlight w:val="none"/>
        </w:rPr>
        <w:t xml:space="preserve">                   </w:t>
      </w:r>
    </w:p>
    <w:p>
      <w:pPr>
        <w:spacing w:line="360" w:lineRule="auto"/>
        <w:ind w:firstLine="4410" w:firstLineChars="2100"/>
        <w:rPr>
          <w:rFonts w:ascii="宋体"/>
          <w:color w:val="auto"/>
          <w:szCs w:val="21"/>
          <w:highlight w:val="none"/>
        </w:rPr>
      </w:pPr>
      <w:r>
        <w:rPr>
          <w:rFonts w:hint="eastAsia"/>
          <w:color w:val="auto"/>
          <w:szCs w:val="21"/>
          <w:highlight w:val="none"/>
        </w:rPr>
        <w:t>日</w:t>
      </w:r>
      <w:r>
        <w:rPr>
          <w:color w:val="auto"/>
          <w:szCs w:val="21"/>
          <w:highlight w:val="none"/>
        </w:rPr>
        <w:t xml:space="preserve">  </w:t>
      </w:r>
      <w:r>
        <w:rPr>
          <w:rFonts w:hint="eastAsia"/>
          <w:color w:val="auto"/>
          <w:szCs w:val="21"/>
          <w:highlight w:val="none"/>
        </w:rPr>
        <w:t>期：</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p>
    <w:p>
      <w:pPr>
        <w:spacing w:after="152" w:line="259" w:lineRule="auto"/>
        <w:ind w:left="11"/>
        <w:rPr>
          <w:color w:val="auto"/>
          <w:highlight w:val="none"/>
        </w:rPr>
      </w:pPr>
      <w:r>
        <w:rPr>
          <w:color w:val="auto"/>
          <w:highlight w:val="none"/>
        </w:rPr>
        <w:t xml:space="preserve"> </w:t>
      </w:r>
    </w:p>
    <w:p>
      <w:pPr>
        <w:spacing w:after="222"/>
        <w:ind w:left="19" w:right="2"/>
        <w:rPr>
          <w:color w:val="auto"/>
          <w:highlight w:val="none"/>
        </w:rPr>
      </w:pPr>
      <w:r>
        <w:rPr>
          <w:color w:val="auto"/>
          <w:highlight w:val="none"/>
        </w:rPr>
        <w:t xml:space="preserve">备注：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hint="eastAsia" w:ascii="宋体" w:hAnsi="宋体"/>
          <w:color w:val="auto"/>
          <w:sz w:val="24"/>
          <w:szCs w:val="22"/>
          <w:highlight w:val="none"/>
          <w:lang w:val="zh-CN"/>
        </w:rPr>
        <w:t>对于响应人</w:t>
      </w:r>
      <w:r>
        <w:rPr>
          <w:rFonts w:ascii="宋体" w:hAnsi="宋体"/>
          <w:color w:val="auto"/>
          <w:sz w:val="24"/>
          <w:szCs w:val="22"/>
          <w:highlight w:val="none"/>
          <w:lang w:val="zh-CN"/>
        </w:rPr>
        <w:t>提供的《残疾人福利性单位声明函》与事实不符的，依照《中华人民共和国政府采购法》第七十七条</w:t>
      </w:r>
      <w:r>
        <w:rPr>
          <w:rFonts w:hint="eastAsia" w:ascii="宋体" w:hAnsi="宋体"/>
          <w:color w:val="auto"/>
          <w:sz w:val="24"/>
          <w:szCs w:val="22"/>
          <w:highlight w:val="none"/>
          <w:lang w:val="zh-CN"/>
        </w:rPr>
        <w:t>相关</w:t>
      </w:r>
      <w:r>
        <w:rPr>
          <w:rFonts w:ascii="宋体" w:hAnsi="宋体"/>
          <w:color w:val="auto"/>
          <w:sz w:val="24"/>
          <w:szCs w:val="22"/>
          <w:highlight w:val="none"/>
          <w:lang w:val="zh-CN"/>
        </w:rPr>
        <w:t xml:space="preserve">规定追究法律责任； </w:t>
      </w:r>
    </w:p>
    <w:p>
      <w:pPr>
        <w:ind w:right="480"/>
        <w:jc w:val="center"/>
        <w:rPr>
          <w:rFonts w:ascii="仿宋" w:hAnsi="仿宋" w:eastAsia="仿宋" w:cs="仿宋"/>
          <w:b/>
          <w:bCs/>
          <w:color w:val="auto"/>
          <w:sz w:val="24"/>
          <w:highlight w:val="none"/>
        </w:rPr>
      </w:pPr>
    </w:p>
    <w:p>
      <w:pPr>
        <w:rPr>
          <w:rFonts w:ascii="仿宋" w:hAnsi="仿宋" w:eastAsia="仿宋" w:cs="仿宋"/>
          <w:b/>
          <w:bCs/>
          <w:color w:val="auto"/>
          <w:sz w:val="24"/>
          <w:highlight w:val="none"/>
        </w:rPr>
      </w:pPr>
      <w:r>
        <w:rPr>
          <w:rFonts w:ascii="仿宋" w:hAnsi="仿宋" w:eastAsia="仿宋" w:cs="仿宋"/>
          <w:b/>
          <w:bCs/>
          <w:color w:val="auto"/>
          <w:sz w:val="24"/>
          <w:highlight w:val="none"/>
        </w:rPr>
        <w:br w:type="page"/>
      </w:r>
    </w:p>
    <w:p>
      <w:pPr>
        <w:ind w:right="480"/>
        <w:jc w:val="right"/>
        <w:rPr>
          <w:rFonts w:ascii="仿宋" w:hAnsi="仿宋" w:eastAsia="仿宋" w:cs="仿宋"/>
          <w:b/>
          <w:bCs/>
          <w:color w:val="auto"/>
          <w:sz w:val="24"/>
          <w:highlight w:val="none"/>
        </w:rPr>
      </w:pP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九、供应商声明函</w:t>
      </w:r>
    </w:p>
    <w:p>
      <w:pPr>
        <w:keepNext w:val="0"/>
        <w:keepLines w:val="0"/>
        <w:widowControl/>
        <w:suppressLineNumbers w:val="0"/>
        <w:spacing w:line="720" w:lineRule="auto"/>
        <w:jc w:val="center"/>
        <w:rPr>
          <w:color w:val="auto"/>
          <w:highlight w:val="none"/>
        </w:rPr>
      </w:pPr>
      <w:r>
        <w:rPr>
          <w:rFonts w:hint="default" w:ascii="ËÎÌå" w:hAnsi="ËÎÌå" w:eastAsia="ËÎÌå" w:cs="ËÎÌå"/>
          <w:b/>
          <w:bCs/>
          <w:i/>
          <w:iCs/>
          <w:color w:val="auto"/>
          <w:kern w:val="0"/>
          <w:sz w:val="24"/>
          <w:szCs w:val="24"/>
          <w:highlight w:val="none"/>
          <w:lang w:val="en-US" w:eastAsia="zh-CN" w:bidi="ar"/>
        </w:rPr>
        <w:t>(</w:t>
      </w:r>
      <w:r>
        <w:rPr>
          <w:rFonts w:hint="default" w:ascii="䅂䍄䕅⯋컌" w:hAnsi="䅂䍄䕅⯋컌" w:eastAsia="䅂䍄䕅⯋컌" w:cs="䅂䍄䕅⯋컌"/>
          <w:b/>
          <w:bCs/>
          <w:i/>
          <w:iCs/>
          <w:color w:val="auto"/>
          <w:kern w:val="0"/>
          <w:sz w:val="24"/>
          <w:szCs w:val="24"/>
          <w:highlight w:val="none"/>
          <w:lang w:val="en-US" w:eastAsia="zh-CN" w:bidi="ar"/>
        </w:rPr>
        <w:t>联合体参加</w:t>
      </w:r>
      <w:r>
        <w:rPr>
          <w:rFonts w:hint="eastAsia" w:ascii="䅂䍄䕅⯋컌" w:hAnsi="䅂䍄䕅⯋컌" w:eastAsia="䅂䍄䕅⯋컌" w:cs="䅂䍄䕅⯋컌"/>
          <w:b/>
          <w:bCs/>
          <w:i/>
          <w:iCs/>
          <w:color w:val="auto"/>
          <w:kern w:val="0"/>
          <w:sz w:val="24"/>
          <w:szCs w:val="24"/>
          <w:highlight w:val="none"/>
          <w:lang w:val="en-US" w:eastAsia="zh-CN" w:bidi="ar"/>
        </w:rPr>
        <w:t>谈判</w:t>
      </w:r>
      <w:r>
        <w:rPr>
          <w:rFonts w:hint="default" w:ascii="䅂䍄䕅⯋컌" w:hAnsi="䅂䍄䕅⯋컌" w:eastAsia="䅂䍄䕅⯋컌" w:cs="䅂䍄䕅⯋컌"/>
          <w:b/>
          <w:bCs/>
          <w:i/>
          <w:iCs/>
          <w:color w:val="auto"/>
          <w:kern w:val="0"/>
          <w:sz w:val="24"/>
          <w:szCs w:val="24"/>
          <w:highlight w:val="none"/>
          <w:lang w:val="en-US" w:eastAsia="zh-CN" w:bidi="ar"/>
        </w:rPr>
        <w:t>的，联合体双方均须提供）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根据《中华人民共和国政府采购法》及《中华人民共和国政府采购法实施条例》 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1、本单位郑重声明：我单位完全符合《中华人民共和国政府采购法》第二十二条规定及本项目所要求的资格条件：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（5）参加政府采购活动前三年内，在经营活动中没有重大违法记录，包括：我单位因违法经营受到刑事处罚或者责令停产停业、吊销许可证或者执照、较大数额罚款等行政处罚；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（6）我单位不在财政部门依法作出的禁止参加政府采购活动的行政处罚期限内；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2、本单位郑重声明，我单位无以下不良信用记录情形：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（1）被人民法院列入失信被执行人；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2</w:t>
      </w:r>
      <w:r>
        <w:rPr>
          <w:rFonts w:hint="eastAsia" w:asciiTheme="minorEastAsia" w:hAnsiTheme="minorEastAsia" w:eastAsiaTheme="minorEastAsia" w:cstheme="minorEastAsia"/>
          <w:color w:val="auto"/>
          <w:kern w:val="0"/>
          <w:sz w:val="24"/>
          <w:szCs w:val="24"/>
          <w:highlight w:val="none"/>
          <w:lang w:val="en-US" w:eastAsia="zh-CN" w:bidi="ar"/>
        </w:rPr>
        <w:t>）被市场监督管理部门列入企业经营异常名录；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3</w:t>
      </w:r>
      <w:r>
        <w:rPr>
          <w:rFonts w:hint="eastAsia" w:asciiTheme="minorEastAsia" w:hAnsiTheme="minorEastAsia" w:eastAsiaTheme="minorEastAsia" w:cstheme="minorEastAsia"/>
          <w:color w:val="auto"/>
          <w:kern w:val="0"/>
          <w:sz w:val="24"/>
          <w:szCs w:val="24"/>
          <w:highlight w:val="none"/>
          <w:lang w:val="en-US" w:eastAsia="zh-CN" w:bidi="ar"/>
        </w:rPr>
        <w:t>）被税务部门列入重大税收违法失信主体；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4</w:t>
      </w:r>
      <w:r>
        <w:rPr>
          <w:rFonts w:hint="eastAsia" w:asciiTheme="minorEastAsia" w:hAnsiTheme="minorEastAsia" w:eastAsiaTheme="minorEastAsia" w:cstheme="minorEastAsia"/>
          <w:color w:val="auto"/>
          <w:kern w:val="0"/>
          <w:sz w:val="24"/>
          <w:szCs w:val="24"/>
          <w:highlight w:val="none"/>
          <w:lang w:val="en-US" w:eastAsia="zh-CN" w:bidi="ar"/>
        </w:rPr>
        <w:t xml:space="preserve">）被政府采购监管部门列入政府采购严重违法失信行为记录名单。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4320" w:firstLineChars="18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供应商签章：</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shd w:val="clear" w:color="FFFFFF" w:fill="D9D9D9"/>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sectPr>
          <w:pgSz w:w="11906" w:h="16838"/>
          <w:pgMar w:top="1418" w:right="1418" w:bottom="1276" w:left="1418" w:header="680" w:footer="680" w:gutter="0"/>
          <w:pgNumType w:fmt="decimal"/>
          <w:cols w:space="720" w:num="1"/>
          <w:docGrid w:type="lines" w:linePitch="312" w:charSpace="0"/>
        </w:sectPr>
      </w:pPr>
      <w:r>
        <w:rPr>
          <w:rFonts w:hint="eastAsia" w:asciiTheme="minorEastAsia" w:hAnsiTheme="minorEastAsia" w:eastAsiaTheme="minorEastAsia" w:cstheme="minorEastAsia"/>
          <w:color w:val="auto"/>
          <w:kern w:val="0"/>
          <w:sz w:val="24"/>
          <w:szCs w:val="24"/>
          <w:highlight w:val="none"/>
          <w:lang w:val="en-US" w:eastAsia="zh-CN" w:bidi="ar"/>
        </w:rPr>
        <w:t xml:space="preserve">                                     日期：</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十、联合体协议</w:t>
      </w:r>
    </w:p>
    <w:p>
      <w:pPr>
        <w:pStyle w:val="45"/>
        <w:spacing w:line="360" w:lineRule="auto"/>
        <w:rPr>
          <w:rFonts w:asciiTheme="minorEastAsia" w:hAnsiTheme="minorEastAsia" w:eastAsiaTheme="minorEastAsia"/>
          <w:color w:val="auto"/>
          <w:sz w:val="24"/>
          <w:highlight w:val="none"/>
        </w:rPr>
      </w:pPr>
      <w:r>
        <w:rPr>
          <w:rFonts w:hint="eastAsia" w:ascii="宋体" w:hAnsi="宋体" w:eastAsia="宋体"/>
          <w:b w:val="0"/>
          <w:i/>
          <w:color w:val="auto"/>
          <w:sz w:val="24"/>
          <w:highlight w:val="none"/>
        </w:rPr>
        <w:t>（不允许联合体参加谈判或未组成联合体的，不需此件；允许联合体参加谈判且供应商为联合体参加谈判的，请将此件加盖公章后制成扫描件）</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本项目的谈判，</w:t>
      </w:r>
      <w:r>
        <w:rPr>
          <w:rFonts w:asciiTheme="minorEastAsia" w:hAnsiTheme="minorEastAsia" w:eastAsiaTheme="minorEastAsia"/>
          <w:color w:val="auto"/>
          <w:sz w:val="24"/>
          <w:highlight w:val="none"/>
        </w:rPr>
        <w:t>现就联合体参加谈判事宜订立如下协议：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谈判阶段，联合体牵头人负责谈判项目的一切组织、协调工作，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谈判</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spacing w:line="360" w:lineRule="auto"/>
        <w:ind w:firstLine="5529" w:firstLineChars="230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9"/>
        <w:shd w:val="clear" w:color="auto" w:fill="FFFFFF"/>
        <w:jc w:val="both"/>
        <w:rPr>
          <w:rFonts w:hint="eastAsia"/>
          <w:color w:val="auto"/>
          <w:sz w:val="28"/>
          <w:szCs w:val="28"/>
          <w:highlight w:val="none"/>
          <w:lang w:val="en-US" w:eastAsia="zh-CN"/>
        </w:rPr>
        <w:sectPr>
          <w:footerReference r:id="rId8" w:type="default"/>
          <w:pgSz w:w="11906" w:h="16838"/>
          <w:pgMar w:top="1418" w:right="1418" w:bottom="1276" w:left="1418" w:header="680" w:footer="680" w:gutter="0"/>
          <w:pgNumType w:fmt="decimal"/>
          <w:cols w:space="720" w:num="1"/>
          <w:docGrid w:type="lines" w:linePitch="312" w:charSpace="0"/>
        </w:sectPr>
      </w:pPr>
      <w:bookmarkStart w:id="241" w:name="_Toc26186"/>
      <w:bookmarkStart w:id="242" w:name="_Toc22272"/>
    </w:p>
    <w:p>
      <w:pPr>
        <w:pStyle w:val="9"/>
        <w:numPr>
          <w:ilvl w:val="0"/>
          <w:numId w:val="0"/>
        </w:numPr>
        <w:shd w:val="clear" w:color="auto" w:fill="FFFFFF"/>
        <w:ind w:left="420" w:leftChars="0"/>
        <w:jc w:val="center"/>
        <w:rPr>
          <w:rFonts w:hint="eastAsia"/>
          <w:color w:val="auto"/>
          <w:sz w:val="28"/>
          <w:szCs w:val="28"/>
          <w:highlight w:val="none"/>
          <w:lang w:val="en-US" w:eastAsia="zh-CN"/>
        </w:rPr>
      </w:pPr>
      <w:r>
        <w:rPr>
          <w:rFonts w:hint="eastAsia"/>
          <w:color w:val="auto"/>
          <w:sz w:val="28"/>
          <w:szCs w:val="28"/>
          <w:highlight w:val="none"/>
          <w:lang w:val="en-US" w:eastAsia="zh-CN"/>
        </w:rPr>
        <w:t>十一、证明</w:t>
      </w:r>
      <w:bookmarkEnd w:id="241"/>
      <w:bookmarkEnd w:id="242"/>
      <w:r>
        <w:rPr>
          <w:rFonts w:hint="eastAsia"/>
          <w:color w:val="auto"/>
          <w:sz w:val="28"/>
          <w:szCs w:val="28"/>
          <w:highlight w:val="none"/>
          <w:lang w:val="en-US" w:eastAsia="zh-CN"/>
        </w:rPr>
        <w:t>资料</w:t>
      </w:r>
    </w:p>
    <w:p>
      <w:pPr>
        <w:numPr>
          <w:ilvl w:val="0"/>
          <w:numId w:val="0"/>
        </w:numPr>
        <w:ind w:left="420" w:leftChars="0"/>
        <w:rPr>
          <w:rFonts w:hint="eastAsia"/>
          <w:color w:val="auto"/>
          <w:highlight w:val="none"/>
          <w:lang w:val="en-US" w:eastAsia="zh-CN"/>
        </w:rPr>
      </w:pP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1、谈判公告中申请人资格要求证明材料，包含但不限于营业执照、税务登记证、特定资格要求中的证明材料。</w:t>
      </w:r>
    </w:p>
    <w:p>
      <w:pPr>
        <w:spacing w:line="360" w:lineRule="auto"/>
        <w:ind w:firstLine="435"/>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2、授权委托书（格式详见附件01）及其委托代理人有效二代居民身份证。</w:t>
      </w: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3、本项目竞争性谈判文件中要求供应商提供的其他证明材料。</w:t>
      </w:r>
    </w:p>
    <w:p>
      <w:pPr>
        <w:spacing w:line="360" w:lineRule="auto"/>
        <w:ind w:firstLine="435"/>
        <w:rPr>
          <w:rFonts w:hint="default"/>
          <w:color w:val="auto"/>
          <w:highlight w:val="none"/>
          <w:lang w:val="en-US" w:eastAsia="zh-CN"/>
        </w:rPr>
      </w:pPr>
      <w:r>
        <w:rPr>
          <w:rFonts w:hint="eastAsia" w:asciiTheme="minorEastAsia" w:hAnsiTheme="minorEastAsia" w:eastAsiaTheme="minorEastAsia"/>
          <w:color w:val="auto"/>
          <w:sz w:val="21"/>
          <w:szCs w:val="21"/>
          <w:highlight w:val="none"/>
          <w:lang w:val="en-US" w:eastAsia="zh-CN"/>
        </w:rPr>
        <w:t>4、须提供上述证明材料复印件或扫描件或影印件，加盖供应商签章。</w:t>
      </w:r>
    </w:p>
    <w:p>
      <w:pPr>
        <w:widowControl/>
        <w:jc w:val="left"/>
        <w:rPr>
          <w:rFonts w:ascii="宋体" w:hAnsi="宋体"/>
          <w:color w:val="auto"/>
          <w:szCs w:val="21"/>
          <w:highlight w:val="none"/>
        </w:rPr>
      </w:pPr>
      <w:r>
        <w:rPr>
          <w:rFonts w:ascii="宋体" w:hAnsi="宋体"/>
          <w:color w:val="auto"/>
          <w:szCs w:val="21"/>
          <w:highlight w:val="none"/>
        </w:rPr>
        <w:br w:type="page"/>
      </w:r>
    </w:p>
    <w:p>
      <w:pPr>
        <w:wordWrap w:val="0"/>
        <w:spacing w:line="360" w:lineRule="auto"/>
        <w:ind w:right="480" w:firstLine="422" w:firstLineChars="200"/>
        <w:rPr>
          <w:rFonts w:ascii="宋体" w:hAnsi="宋体"/>
          <w:b/>
          <w:bCs/>
          <w:color w:val="auto"/>
          <w:szCs w:val="21"/>
          <w:highlight w:val="none"/>
        </w:rPr>
      </w:pPr>
      <w:r>
        <w:rPr>
          <w:rFonts w:hint="eastAsia" w:ascii="宋体" w:hAnsi="宋体"/>
          <w:b/>
          <w:bCs/>
          <w:color w:val="auto"/>
          <w:szCs w:val="21"/>
          <w:highlight w:val="none"/>
        </w:rPr>
        <w:t xml:space="preserve">附件01：                              </w:t>
      </w:r>
    </w:p>
    <w:p>
      <w:pPr>
        <w:wordWrap w:val="0"/>
        <w:spacing w:line="360" w:lineRule="auto"/>
        <w:ind w:right="480" w:firstLine="562" w:firstLineChars="200"/>
        <w:jc w:val="center"/>
        <w:rPr>
          <w:rFonts w:ascii="宋体" w:hAnsi="宋体"/>
          <w:b/>
          <w:bCs/>
          <w:color w:val="auto"/>
          <w:sz w:val="28"/>
          <w:szCs w:val="28"/>
          <w:highlight w:val="none"/>
        </w:rPr>
      </w:pPr>
      <w:r>
        <w:rPr>
          <w:rFonts w:hint="eastAsia" w:ascii="宋体" w:hAnsi="宋体"/>
          <w:b/>
          <w:bCs/>
          <w:color w:val="auto"/>
          <w:sz w:val="28"/>
          <w:szCs w:val="28"/>
          <w:highlight w:val="none"/>
        </w:rPr>
        <w:t>授  权  书</w:t>
      </w:r>
    </w:p>
    <w:p>
      <w:pPr>
        <w:spacing w:line="360" w:lineRule="auto"/>
        <w:ind w:firstLine="435"/>
        <w:rPr>
          <w:rFonts w:hAnsi="宋体"/>
          <w:color w:val="auto"/>
          <w:sz w:val="24"/>
          <w:szCs w:val="28"/>
          <w:highlight w:val="none"/>
        </w:rPr>
      </w:pPr>
      <w:r>
        <w:rPr>
          <w:rFonts w:hint="eastAsia" w:hAnsi="宋体"/>
          <w:color w:val="auto"/>
          <w:sz w:val="24"/>
          <w:szCs w:val="28"/>
          <w:highlight w:val="none"/>
        </w:rPr>
        <w:t>本</w:t>
      </w:r>
      <w:r>
        <w:rPr>
          <w:rFonts w:hint="eastAsia" w:asciiTheme="minorEastAsia" w:hAnsiTheme="minorEastAsia" w:eastAsiaTheme="minorEastAsia"/>
          <w:color w:val="auto"/>
          <w:sz w:val="24"/>
          <w:highlight w:val="none"/>
        </w:rPr>
        <w:t>授权</w:t>
      </w:r>
      <w:r>
        <w:rPr>
          <w:rFonts w:hint="eastAsia" w:hAnsi="宋体"/>
          <w:color w:val="auto"/>
          <w:sz w:val="24"/>
          <w:szCs w:val="28"/>
          <w:highlight w:val="none"/>
        </w:rPr>
        <w:t>书声明：</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名称）授权</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授权代表姓名、职务）代表我方参加本项目</w:t>
      </w:r>
      <w:r>
        <w:rPr>
          <w:rFonts w:hint="eastAsia" w:hAnsi="宋体"/>
          <w:bCs/>
          <w:color w:val="auto"/>
          <w:sz w:val="24"/>
          <w:szCs w:val="28"/>
          <w:highlight w:val="none"/>
        </w:rPr>
        <w:t>采购活动</w:t>
      </w:r>
      <w:r>
        <w:rPr>
          <w:rFonts w:hint="eastAsia" w:hAnsi="宋体"/>
          <w:color w:val="auto"/>
          <w:sz w:val="24"/>
          <w:szCs w:val="28"/>
          <w:highlight w:val="none"/>
        </w:rPr>
        <w:t>，全权代表我方处理</w:t>
      </w:r>
      <w:r>
        <w:rPr>
          <w:rFonts w:hint="eastAsia" w:hAnsi="宋体"/>
          <w:strike w:val="0"/>
          <w:dstrike w:val="0"/>
          <w:color w:val="auto"/>
          <w:sz w:val="24"/>
          <w:szCs w:val="28"/>
          <w:highlight w:val="none"/>
          <w:lang w:eastAsia="zh-CN"/>
        </w:rPr>
        <w:t>谈判</w:t>
      </w:r>
      <w:r>
        <w:rPr>
          <w:rFonts w:hint="eastAsia" w:hAnsi="宋体"/>
          <w:color w:val="auto"/>
          <w:sz w:val="24"/>
          <w:szCs w:val="28"/>
          <w:highlight w:val="none"/>
        </w:rPr>
        <w:t>过程的一切事宜，包括但不限于：</w:t>
      </w:r>
      <w:r>
        <w:rPr>
          <w:rFonts w:hint="eastAsia" w:hAnsi="宋体"/>
          <w:color w:val="auto"/>
          <w:sz w:val="24"/>
          <w:szCs w:val="28"/>
          <w:highlight w:val="none"/>
          <w:lang w:eastAsia="zh-CN"/>
        </w:rPr>
        <w:t>提交响应文件开启</w:t>
      </w:r>
      <w:r>
        <w:rPr>
          <w:rFonts w:hint="eastAsia" w:hAnsi="宋体"/>
          <w:color w:val="auto"/>
          <w:sz w:val="24"/>
          <w:szCs w:val="28"/>
          <w:highlight w:val="none"/>
        </w:rPr>
        <w:t>、</w:t>
      </w:r>
      <w:r>
        <w:rPr>
          <w:rFonts w:hint="eastAsia" w:hAnsi="宋体"/>
          <w:color w:val="auto"/>
          <w:sz w:val="24"/>
          <w:szCs w:val="28"/>
          <w:highlight w:val="none"/>
          <w:lang w:eastAsia="zh-CN"/>
        </w:rPr>
        <w:t xml:space="preserve">参与谈判 </w:t>
      </w:r>
      <w:r>
        <w:rPr>
          <w:rFonts w:hint="eastAsia" w:hAnsi="宋体"/>
          <w:color w:val="auto"/>
          <w:sz w:val="24"/>
          <w:szCs w:val="28"/>
          <w:highlight w:val="none"/>
        </w:rPr>
        <w:t>、签约等。</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授权代表在</w:t>
      </w:r>
      <w:r>
        <w:rPr>
          <w:rFonts w:hint="eastAsia" w:hAnsi="宋体"/>
          <w:strike w:val="0"/>
          <w:dstrike w:val="0"/>
          <w:color w:val="auto"/>
          <w:sz w:val="24"/>
          <w:szCs w:val="28"/>
          <w:highlight w:val="none"/>
          <w:lang w:eastAsia="zh-CN"/>
        </w:rPr>
        <w:t>采购</w:t>
      </w:r>
      <w:r>
        <w:rPr>
          <w:rFonts w:hint="eastAsia" w:hAnsi="宋体"/>
          <w:color w:val="auto"/>
          <w:sz w:val="24"/>
          <w:szCs w:val="28"/>
          <w:highlight w:val="none"/>
        </w:rPr>
        <w:t>过程中所签署的一切文件和处理与之有关的一切事务，我方均予以认可并对此承担责任。</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授权代表无转委托权。特此授权。</w:t>
      </w:r>
    </w:p>
    <w:p>
      <w:pPr>
        <w:spacing w:line="360" w:lineRule="auto"/>
        <w:ind w:firstLine="435"/>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ind w:firstLine="435"/>
        <w:rPr>
          <w:rFonts w:hAnsi="宋体"/>
          <w:color w:val="auto"/>
          <w:sz w:val="24"/>
          <w:highlight w:val="none"/>
        </w:rPr>
      </w:pPr>
      <w:r>
        <w:rPr>
          <w:rFonts w:hint="eastAsia" w:hAnsi="宋体"/>
          <w:color w:val="auto"/>
          <w:sz w:val="24"/>
          <w:szCs w:val="28"/>
          <w:highlight w:val="none"/>
        </w:rPr>
        <w:t>授权</w:t>
      </w:r>
      <w:r>
        <w:rPr>
          <w:rFonts w:hint="eastAsia" w:asciiTheme="minorEastAsia" w:hAnsiTheme="minorEastAsia" w:eastAsiaTheme="minorEastAsia"/>
          <w:color w:val="auto"/>
          <w:sz w:val="24"/>
          <w:highlight w:val="none"/>
        </w:rPr>
        <w:t>代表</w:t>
      </w:r>
      <w:r>
        <w:rPr>
          <w:rFonts w:hint="eastAsia" w:hAnsi="宋体"/>
          <w:color w:val="auto"/>
          <w:sz w:val="24"/>
          <w:highlight w:val="none"/>
        </w:rPr>
        <w:t>身份证扫描件：</w:t>
      </w:r>
    </w:p>
    <w:p>
      <w:pPr>
        <w:spacing w:line="360" w:lineRule="auto"/>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hAnsi="宋体"/>
          <w:color w:val="auto"/>
          <w:sz w:val="24"/>
          <w:szCs w:val="28"/>
          <w:highlight w:val="none"/>
          <w:u w:val="single"/>
          <w:lang w:val="zh-CN"/>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435"/>
        <w:rPr>
          <w:rFonts w:hAnsi="宋体"/>
          <w:color w:val="auto"/>
          <w:sz w:val="24"/>
          <w:szCs w:val="28"/>
          <w:highlight w:val="none"/>
          <w:lang w:val="zh-CN"/>
        </w:rPr>
      </w:pPr>
    </w:p>
    <w:p>
      <w:pPr>
        <w:spacing w:line="360" w:lineRule="auto"/>
        <w:ind w:firstLine="435"/>
        <w:rPr>
          <w:rFonts w:ascii="宋体" w:hAnsi="宋体"/>
          <w:color w:val="auto"/>
          <w:sz w:val="24"/>
          <w:szCs w:val="28"/>
          <w:highlight w:val="none"/>
        </w:rPr>
      </w:pPr>
      <w:r>
        <w:rPr>
          <w:rFonts w:hint="eastAsia" w:asciiTheme="minorEastAsia" w:hAnsiTheme="minorEastAsia" w:eastAsiaTheme="minorEastAsia"/>
          <w:color w:val="auto"/>
          <w:sz w:val="24"/>
          <w:highlight w:val="none"/>
        </w:rPr>
        <w:t>特此</w:t>
      </w:r>
      <w:r>
        <w:rPr>
          <w:rFonts w:hint="eastAsia" w:ascii="宋体" w:hAnsi="宋体"/>
          <w:color w:val="auto"/>
          <w:sz w:val="24"/>
          <w:szCs w:val="28"/>
          <w:highlight w:val="none"/>
        </w:rPr>
        <w:t>声明。</w:t>
      </w:r>
    </w:p>
    <w:p>
      <w:pPr>
        <w:spacing w:line="360" w:lineRule="auto"/>
        <w:rPr>
          <w:rFonts w:ascii="宋体" w:hAnsi="宋体"/>
          <w:color w:val="auto"/>
          <w:sz w:val="24"/>
          <w:szCs w:val="28"/>
          <w:highlight w:val="none"/>
        </w:rPr>
      </w:pPr>
    </w:p>
    <w:p>
      <w:pPr>
        <w:spacing w:line="360" w:lineRule="auto"/>
        <w:ind w:firstLine="435"/>
        <w:rPr>
          <w:rFonts w:ascii="宋体" w:hAnsi="宋体"/>
          <w:bCs/>
          <w:color w:val="auto"/>
          <w:sz w:val="24"/>
          <w:szCs w:val="28"/>
          <w:highlight w:val="none"/>
          <w:u w:val="single"/>
        </w:rPr>
      </w:pPr>
      <w:r>
        <w:rPr>
          <w:rFonts w:hint="eastAsia" w:ascii="宋体" w:hAnsi="宋体"/>
          <w:bCs/>
          <w:color w:val="auto"/>
          <w:sz w:val="24"/>
          <w:szCs w:val="28"/>
          <w:highlight w:val="none"/>
          <w:lang w:val="en-US" w:eastAsia="zh-CN"/>
        </w:rPr>
        <w:t>供应商签章</w:t>
      </w:r>
      <w:r>
        <w:rPr>
          <w:rFonts w:hint="eastAsia" w:ascii="宋体" w:hAnsi="宋体"/>
          <w:bCs/>
          <w:color w:val="auto"/>
          <w:sz w:val="24"/>
          <w:szCs w:val="28"/>
          <w:highlight w:val="none"/>
        </w:rPr>
        <w:t>：</w:t>
      </w:r>
      <w:r>
        <w:rPr>
          <w:rFonts w:hint="eastAsia" w:ascii="宋体" w:hAnsi="宋体"/>
          <w:bCs/>
          <w:color w:val="auto"/>
          <w:sz w:val="24"/>
          <w:szCs w:val="28"/>
          <w:highlight w:val="none"/>
          <w:u w:val="single"/>
        </w:rPr>
        <w:t xml:space="preserve">           </w:t>
      </w:r>
      <w:r>
        <w:rPr>
          <w:rFonts w:hint="eastAsia" w:ascii="宋体" w:hAnsi="宋体"/>
          <w:bCs/>
          <w:color w:val="auto"/>
          <w:sz w:val="24"/>
          <w:szCs w:val="28"/>
          <w:highlight w:val="none"/>
          <w:u w:val="single"/>
          <w:lang w:val="en-US" w:eastAsia="zh-CN"/>
        </w:rPr>
        <w:t xml:space="preserve">   </w:t>
      </w:r>
      <w:r>
        <w:rPr>
          <w:rFonts w:hint="eastAsia" w:ascii="宋体" w:hAnsi="宋体"/>
          <w:bCs/>
          <w:color w:val="auto"/>
          <w:sz w:val="24"/>
          <w:szCs w:val="28"/>
          <w:highlight w:val="none"/>
          <w:u w:val="single"/>
        </w:rPr>
        <w:t xml:space="preserve">         </w:t>
      </w:r>
    </w:p>
    <w:p>
      <w:pPr>
        <w:spacing w:line="360" w:lineRule="auto"/>
        <w:ind w:firstLine="435"/>
        <w:rPr>
          <w:rFonts w:ascii="宋体" w:hAnsi="宋体"/>
          <w:color w:val="auto"/>
          <w:sz w:val="24"/>
          <w:szCs w:val="28"/>
          <w:highlight w:val="none"/>
        </w:rPr>
      </w:pPr>
      <w:r>
        <w:rPr>
          <w:rFonts w:hint="eastAsia" w:ascii="宋体" w:hAnsi="宋体"/>
          <w:color w:val="auto"/>
          <w:sz w:val="24"/>
          <w:szCs w:val="28"/>
          <w:highlight w:val="none"/>
        </w:rPr>
        <w:t>日          期：</w:t>
      </w:r>
      <w:r>
        <w:rPr>
          <w:rFonts w:hint="eastAsia" w:ascii="宋体" w:hAnsi="宋体"/>
          <w:b/>
          <w:bCs/>
          <w:color w:val="auto"/>
          <w:sz w:val="24"/>
          <w:szCs w:val="28"/>
          <w:highlight w:val="none"/>
          <w:u w:val="single"/>
        </w:rPr>
        <w:t xml:space="preserve">                    </w:t>
      </w:r>
    </w:p>
    <w:p>
      <w:pPr>
        <w:spacing w:line="360" w:lineRule="auto"/>
        <w:ind w:firstLine="435"/>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p>
      <w:pPr>
        <w:pStyle w:val="9"/>
        <w:rPr>
          <w:rFonts w:asciiTheme="minorEastAsia" w:hAnsiTheme="minorEastAsia" w:eastAsiaTheme="minorEastAsia"/>
          <w:color w:val="auto"/>
          <w:sz w:val="24"/>
          <w:highlight w:val="none"/>
        </w:rPr>
      </w:pPr>
    </w:p>
    <w:p>
      <w:pPr>
        <w:rPr>
          <w:color w:val="auto"/>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注：本项目只允许有唯一的</w:t>
      </w:r>
      <w:r>
        <w:rPr>
          <w:rFonts w:hint="eastAsia" w:asciiTheme="minorEastAsia" w:hAnsiTheme="minorEastAsia" w:eastAsiaTheme="minorEastAsia"/>
          <w:color w:val="auto"/>
          <w:sz w:val="24"/>
          <w:highlight w:val="none"/>
          <w:lang w:val="en-US" w:eastAsia="zh-CN"/>
        </w:rPr>
        <w:t>供应商</w:t>
      </w:r>
      <w:r>
        <w:rPr>
          <w:rFonts w:hint="eastAsia" w:asciiTheme="minorEastAsia" w:hAnsiTheme="minorEastAsia" w:eastAsiaTheme="minorEastAsia"/>
          <w:color w:val="auto"/>
          <w:sz w:val="24"/>
          <w:highlight w:val="none"/>
        </w:rPr>
        <w:t>授权代表，</w:t>
      </w:r>
      <w:r>
        <w:rPr>
          <w:rFonts w:hint="eastAsia" w:asciiTheme="minorEastAsia" w:hAnsiTheme="minorEastAsia" w:eastAsiaTheme="minorEastAsia"/>
          <w:b/>
          <w:bCs/>
          <w:color w:val="auto"/>
          <w:sz w:val="24"/>
          <w:highlight w:val="none"/>
        </w:rPr>
        <w:t>提供身份证扫描件</w:t>
      </w:r>
      <w:r>
        <w:rPr>
          <w:rFonts w:hint="eastAsia" w:asciiTheme="minorEastAsia" w:hAnsiTheme="minorEastAsia" w:eastAsiaTheme="minorEastAsia"/>
          <w:color w:val="auto"/>
          <w:sz w:val="24"/>
          <w:highlight w:val="none"/>
        </w:rPr>
        <w:t>；</w:t>
      </w:r>
    </w:p>
    <w:p>
      <w:pPr>
        <w:spacing w:line="360" w:lineRule="auto"/>
        <w:ind w:firstLine="435"/>
        <w:rPr>
          <w:rFonts w:hint="eastAsia" w:asciiTheme="minorEastAsia" w:hAnsiTheme="minorEastAsia" w:eastAsiaTheme="minorEastAsia"/>
          <w:color w:val="auto"/>
          <w:sz w:val="24"/>
          <w:highlight w:val="none"/>
        </w:rPr>
        <w:sectPr>
          <w:pgSz w:w="11906" w:h="16838"/>
          <w:pgMar w:top="1418" w:right="1418" w:bottom="1276" w:left="1418" w:header="680" w:footer="680" w:gutter="0"/>
          <w:pgNumType w:fmt="decimal"/>
          <w:cols w:space="720" w:num="1"/>
          <w:docGrid w:type="lines" w:linePitch="312" w:charSpace="0"/>
        </w:sectPr>
      </w:pPr>
    </w:p>
    <w:p>
      <w:pPr>
        <w:pStyle w:val="3"/>
        <w:numPr>
          <w:ilvl w:val="0"/>
          <w:numId w:val="0"/>
        </w:numPr>
        <w:tabs>
          <w:tab w:val="clear" w:pos="1440"/>
          <w:tab w:val="clear" w:pos="5670"/>
        </w:tabs>
        <w:ind w:firstLine="1687" w:firstLineChars="600"/>
        <w:jc w:val="left"/>
        <w:rPr>
          <w:color w:val="auto"/>
          <w:highlight w:val="none"/>
        </w:rPr>
      </w:pPr>
      <w:bookmarkStart w:id="243" w:name="_Toc12703"/>
      <w:bookmarkStart w:id="244" w:name="_Toc2700"/>
      <w:bookmarkStart w:id="245" w:name="_Toc32741"/>
      <w:bookmarkStart w:id="246" w:name="_Toc8573"/>
      <w:r>
        <w:rPr>
          <w:rFonts w:hint="eastAsia"/>
          <w:color w:val="auto"/>
          <w:highlight w:val="none"/>
          <w:lang w:val="en-US" w:eastAsia="zh-CN"/>
        </w:rPr>
        <w:t xml:space="preserve">第七章  </w:t>
      </w:r>
      <w:r>
        <w:rPr>
          <w:rFonts w:hint="eastAsia"/>
          <w:color w:val="auto"/>
          <w:highlight w:val="none"/>
        </w:rPr>
        <w:t>政府采购供应商质疑函范本</w:t>
      </w:r>
      <w:bookmarkEnd w:id="243"/>
      <w:bookmarkEnd w:id="244"/>
      <w:bookmarkEnd w:id="245"/>
      <w:bookmarkEnd w:id="246"/>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一、质疑供应商基本信息</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质疑供应商：</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联系人：</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授权代表：</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r>
        <w:rPr>
          <w:rFonts w:cs="仿宋" w:asciiTheme="minorEastAsia" w:hAnsiTheme="minorEastAsia" w:eastAsiaTheme="minorEastAsia"/>
          <w:color w:val="auto"/>
          <w:sz w:val="21"/>
          <w:szCs w:val="21"/>
          <w:highlight w:val="none"/>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cs="仿宋" w:asciiTheme="minorEastAsia" w:hAnsiTheme="minorEastAsia" w:eastAsiaTheme="minorEastAsia"/>
          <w:color w:val="auto"/>
          <w:sz w:val="21"/>
          <w:szCs w:val="21"/>
          <w:highlight w:val="none"/>
        </w:rPr>
        <w:t xml:space="preserve"> </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二、质疑项目基本情况</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质疑项目的编号：</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包号：</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采购人名称：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采购文件获取日期：</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三、质疑事项具体内容</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质疑事项1：</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事实依据：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法律依据：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质疑事项2</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请求：</w:t>
      </w:r>
      <w:r>
        <w:rPr>
          <w:rFonts w:hint="eastAsia" w:cs="仿宋" w:asciiTheme="minorEastAsia" w:hAnsiTheme="minorEastAsia" w:eastAsiaTheme="minorEastAsia"/>
          <w:color w:val="auto"/>
          <w:sz w:val="21"/>
          <w:szCs w:val="21"/>
          <w:highlight w:val="none"/>
          <w:u w:val="dotted"/>
        </w:rPr>
        <w:t xml:space="preserve">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签字(签章)：                   公章：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ordWrap w:val="0"/>
        <w:spacing w:line="360" w:lineRule="auto"/>
        <w:ind w:right="480" w:firstLine="420" w:firstLineChars="200"/>
        <w:rPr>
          <w:rFonts w:ascii="宋体" w:hAnsi="宋体"/>
          <w:color w:val="auto"/>
          <w:szCs w:val="21"/>
          <w:highlight w:val="none"/>
        </w:rPr>
      </w:pPr>
    </w:p>
    <w:p>
      <w:pPr>
        <w:spacing w:line="360" w:lineRule="auto"/>
        <w:jc w:val="center"/>
        <w:rPr>
          <w:rFonts w:ascii="仿宋" w:hAnsi="仿宋" w:eastAsia="仿宋"/>
          <w:b/>
          <w:color w:val="auto"/>
          <w:spacing w:val="20"/>
          <w:sz w:val="36"/>
          <w:szCs w:val="36"/>
          <w:highlight w:val="none"/>
          <w:u w:val="single"/>
        </w:rPr>
      </w:pPr>
    </w:p>
    <w:p>
      <w:pPr>
        <w:ind w:right="480"/>
        <w:jc w:val="right"/>
        <w:rPr>
          <w:rFonts w:ascii="仿宋" w:hAnsi="仿宋" w:eastAsia="仿宋" w:cs="仿宋"/>
          <w:b/>
          <w:bCs/>
          <w:color w:val="auto"/>
          <w:sz w:val="24"/>
          <w:highlight w:val="none"/>
        </w:rPr>
      </w:pPr>
    </w:p>
    <w:p>
      <w:pPr>
        <w:rPr>
          <w:color w:val="auto"/>
          <w:highlight w:val="none"/>
        </w:rPr>
      </w:pPr>
    </w:p>
    <w:p>
      <w:pPr>
        <w:spacing w:line="360" w:lineRule="auto"/>
        <w:ind w:firstLine="630" w:firstLineChars="300"/>
        <w:rPr>
          <w:rFonts w:ascii="宋体" w:hAnsi="宋体" w:cs="宋体"/>
          <w:color w:val="auto"/>
          <w:szCs w:val="21"/>
          <w:highlight w:val="none"/>
        </w:rPr>
      </w:pPr>
    </w:p>
    <w:sectPr>
      <w:headerReference r:id="rId9" w:type="default"/>
      <w:footerReference r:id="rId10"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2010600000101010101"/>
    <w:charset w:val="86"/>
    <w:family w:val="auto"/>
    <w:pitch w:val="default"/>
    <w:sig w:usb0="00000000" w:usb1="00000000" w:usb2="00000002"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ËÎÌå">
    <w:altName w:val="Times New Roman"/>
    <w:panose1 w:val="00000000000000000000"/>
    <w:charset w:val="00"/>
    <w:family w:val="auto"/>
    <w:pitch w:val="default"/>
    <w:sig w:usb0="00000000" w:usb1="00000000" w:usb2="00000000" w:usb3="00000000" w:csb0="00000000" w:csb1="0000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asciiTheme="minorEastAsia" w:hAnsiTheme="minorEastAsia" w:eastAsiaTheme="minorEastAsia" w:cstheme="minorEastAsia"/>
        <w:b w:val="0"/>
        <w:bCs/>
        <w:i/>
        <w:sz w:val="18"/>
        <w:szCs w:val="16"/>
        <w:lang w:val="en-US"/>
      </w:rPr>
    </w:pPr>
    <w:r>
      <w:rPr>
        <w:rFonts w:hint="eastAsia" w:asciiTheme="minorEastAsia" w:hAnsiTheme="minorEastAsia" w:eastAsiaTheme="minorEastAsia" w:cstheme="minorEastAsia"/>
        <w:b w:val="0"/>
        <w:bCs/>
        <w:iCs/>
        <w:sz w:val="18"/>
        <w:szCs w:val="16"/>
        <w:lang w:val="en-US" w:eastAsia="zh-CN"/>
      </w:rPr>
      <w:t xml:space="preserve">                                                          安庆市政府采购文件范本2022年修订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2B839"/>
    <w:multiLevelType w:val="singleLevel"/>
    <w:tmpl w:val="C6D2B839"/>
    <w:lvl w:ilvl="0" w:tentative="0">
      <w:start w:val="7"/>
      <w:numFmt w:val="chineseCounting"/>
      <w:suff w:val="nothing"/>
      <w:lvlText w:val="%1、"/>
      <w:lvlJc w:val="left"/>
      <w:rPr>
        <w:rFonts w:hint="eastAsia"/>
      </w:rPr>
    </w:lvl>
  </w:abstractNum>
  <w:abstractNum w:abstractNumId="1">
    <w:nsid w:val="CFFA2695"/>
    <w:multiLevelType w:val="singleLevel"/>
    <w:tmpl w:val="CFFA2695"/>
    <w:lvl w:ilvl="0" w:tentative="0">
      <w:start w:val="1"/>
      <w:numFmt w:val="decimal"/>
      <w:suff w:val="nothing"/>
      <w:lvlText w:val="%1、"/>
      <w:lvlJc w:val="left"/>
    </w:lvl>
  </w:abstractNum>
  <w:abstractNum w:abstractNumId="2">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4">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singleLevel"/>
    <w:tmpl w:val="00000018"/>
    <w:lvl w:ilvl="0" w:tentative="0">
      <w:start w:val="4"/>
      <w:numFmt w:val="chineseCounting"/>
      <w:suff w:val="nothing"/>
      <w:lvlText w:val="%1、"/>
      <w:lvlJc w:val="left"/>
      <w:rPr>
        <w:rFonts w:cs="Times New Roman"/>
      </w:rPr>
    </w:lvl>
  </w:abstractNum>
  <w:abstractNum w:abstractNumId="6">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7">
    <w:nsid w:val="378A7434"/>
    <w:multiLevelType w:val="multilevel"/>
    <w:tmpl w:val="378A74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D1395F"/>
    <w:multiLevelType w:val="singleLevel"/>
    <w:tmpl w:val="40D1395F"/>
    <w:lvl w:ilvl="0" w:tentative="0">
      <w:start w:val="2"/>
      <w:numFmt w:val="decimal"/>
      <w:suff w:val="nothing"/>
      <w:lvlText w:val="%1、"/>
      <w:lvlJc w:val="left"/>
    </w:lvl>
  </w:abstractNum>
  <w:abstractNum w:abstractNumId="9">
    <w:nsid w:val="7AAB2737"/>
    <w:multiLevelType w:val="singleLevel"/>
    <w:tmpl w:val="7AAB2737"/>
    <w:lvl w:ilvl="0" w:tentative="0">
      <w:start w:val="2"/>
      <w:numFmt w:val="chineseCounting"/>
      <w:suff w:val="nothing"/>
      <w:lvlText w:val="%1、"/>
      <w:lvlJc w:val="left"/>
      <w:rPr>
        <w:rFonts w:hint="eastAsia"/>
      </w:r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172A27"/>
    <w:rsid w:val="00010694"/>
    <w:rsid w:val="000235B5"/>
    <w:rsid w:val="0002413E"/>
    <w:rsid w:val="00024F9F"/>
    <w:rsid w:val="000370E3"/>
    <w:rsid w:val="000507E8"/>
    <w:rsid w:val="00053120"/>
    <w:rsid w:val="00054A66"/>
    <w:rsid w:val="00064474"/>
    <w:rsid w:val="00064AE1"/>
    <w:rsid w:val="00073044"/>
    <w:rsid w:val="0007476A"/>
    <w:rsid w:val="00087987"/>
    <w:rsid w:val="00093C41"/>
    <w:rsid w:val="000B6F75"/>
    <w:rsid w:val="000C1ABF"/>
    <w:rsid w:val="000C7F29"/>
    <w:rsid w:val="000D3ED7"/>
    <w:rsid w:val="001025CA"/>
    <w:rsid w:val="0011028C"/>
    <w:rsid w:val="001108AC"/>
    <w:rsid w:val="00116DDE"/>
    <w:rsid w:val="001238B8"/>
    <w:rsid w:val="00125483"/>
    <w:rsid w:val="00126CB2"/>
    <w:rsid w:val="001277C9"/>
    <w:rsid w:val="0012783F"/>
    <w:rsid w:val="001347C2"/>
    <w:rsid w:val="00140284"/>
    <w:rsid w:val="001509DE"/>
    <w:rsid w:val="00153D99"/>
    <w:rsid w:val="00157A32"/>
    <w:rsid w:val="00160F44"/>
    <w:rsid w:val="0016586D"/>
    <w:rsid w:val="00166B1B"/>
    <w:rsid w:val="00171D5E"/>
    <w:rsid w:val="00172A27"/>
    <w:rsid w:val="00186A56"/>
    <w:rsid w:val="001A2433"/>
    <w:rsid w:val="001A71AA"/>
    <w:rsid w:val="001B1EF8"/>
    <w:rsid w:val="001B3868"/>
    <w:rsid w:val="001B6DBE"/>
    <w:rsid w:val="001C2583"/>
    <w:rsid w:val="001D7738"/>
    <w:rsid w:val="001E606E"/>
    <w:rsid w:val="001F1418"/>
    <w:rsid w:val="00225FE3"/>
    <w:rsid w:val="00232BD2"/>
    <w:rsid w:val="0025055D"/>
    <w:rsid w:val="00252D15"/>
    <w:rsid w:val="00257B90"/>
    <w:rsid w:val="00261B95"/>
    <w:rsid w:val="00264DD0"/>
    <w:rsid w:val="002663B5"/>
    <w:rsid w:val="00281DD3"/>
    <w:rsid w:val="00291557"/>
    <w:rsid w:val="00294358"/>
    <w:rsid w:val="002978A1"/>
    <w:rsid w:val="002A35BD"/>
    <w:rsid w:val="002C07F7"/>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0196"/>
    <w:rsid w:val="00384D4A"/>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3061B"/>
    <w:rsid w:val="00432F86"/>
    <w:rsid w:val="00433C4C"/>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B4841"/>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5F7852"/>
    <w:rsid w:val="00602580"/>
    <w:rsid w:val="00611C77"/>
    <w:rsid w:val="00624C59"/>
    <w:rsid w:val="00625F94"/>
    <w:rsid w:val="00627215"/>
    <w:rsid w:val="00631E06"/>
    <w:rsid w:val="00642C79"/>
    <w:rsid w:val="006443D9"/>
    <w:rsid w:val="00660ECC"/>
    <w:rsid w:val="006729F3"/>
    <w:rsid w:val="00681E5A"/>
    <w:rsid w:val="00693ACE"/>
    <w:rsid w:val="006A479F"/>
    <w:rsid w:val="006A64BB"/>
    <w:rsid w:val="006B1B74"/>
    <w:rsid w:val="006B3D08"/>
    <w:rsid w:val="006B43C0"/>
    <w:rsid w:val="006B7F14"/>
    <w:rsid w:val="006C09C6"/>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488F"/>
    <w:rsid w:val="0075613D"/>
    <w:rsid w:val="00757D5F"/>
    <w:rsid w:val="00760525"/>
    <w:rsid w:val="007674B8"/>
    <w:rsid w:val="0078109C"/>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6313D"/>
    <w:rsid w:val="00870FA7"/>
    <w:rsid w:val="0089181C"/>
    <w:rsid w:val="00894ED6"/>
    <w:rsid w:val="008A3516"/>
    <w:rsid w:val="008A4E65"/>
    <w:rsid w:val="008B0930"/>
    <w:rsid w:val="008C1956"/>
    <w:rsid w:val="008D5EF4"/>
    <w:rsid w:val="008E54CF"/>
    <w:rsid w:val="008E5BB6"/>
    <w:rsid w:val="008E6B65"/>
    <w:rsid w:val="008F4221"/>
    <w:rsid w:val="00904018"/>
    <w:rsid w:val="00912972"/>
    <w:rsid w:val="00915FF4"/>
    <w:rsid w:val="00924828"/>
    <w:rsid w:val="00933B4D"/>
    <w:rsid w:val="00936F7B"/>
    <w:rsid w:val="0093793B"/>
    <w:rsid w:val="00955923"/>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85725"/>
    <w:rsid w:val="00B903F4"/>
    <w:rsid w:val="00B93271"/>
    <w:rsid w:val="00B93AE2"/>
    <w:rsid w:val="00B93CB1"/>
    <w:rsid w:val="00B96146"/>
    <w:rsid w:val="00B96409"/>
    <w:rsid w:val="00B96BED"/>
    <w:rsid w:val="00BA002B"/>
    <w:rsid w:val="00BA2710"/>
    <w:rsid w:val="00BA6247"/>
    <w:rsid w:val="00BA791D"/>
    <w:rsid w:val="00BB2BDE"/>
    <w:rsid w:val="00BC0B72"/>
    <w:rsid w:val="00BD7EBA"/>
    <w:rsid w:val="00BE0AB0"/>
    <w:rsid w:val="00BE1DCF"/>
    <w:rsid w:val="00BE43CC"/>
    <w:rsid w:val="00BF07C8"/>
    <w:rsid w:val="00C00A93"/>
    <w:rsid w:val="00C04F27"/>
    <w:rsid w:val="00C12D6F"/>
    <w:rsid w:val="00C16558"/>
    <w:rsid w:val="00C17674"/>
    <w:rsid w:val="00C213A0"/>
    <w:rsid w:val="00C26F7E"/>
    <w:rsid w:val="00C34E1A"/>
    <w:rsid w:val="00C3720F"/>
    <w:rsid w:val="00C50391"/>
    <w:rsid w:val="00C52220"/>
    <w:rsid w:val="00C5606B"/>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E2ABB"/>
    <w:rsid w:val="00D07D7D"/>
    <w:rsid w:val="00D122D8"/>
    <w:rsid w:val="00D248BB"/>
    <w:rsid w:val="00D25DBD"/>
    <w:rsid w:val="00D308B3"/>
    <w:rsid w:val="00D47E57"/>
    <w:rsid w:val="00D50523"/>
    <w:rsid w:val="00D5782D"/>
    <w:rsid w:val="00D63918"/>
    <w:rsid w:val="00D7529C"/>
    <w:rsid w:val="00D94D5B"/>
    <w:rsid w:val="00D95AF3"/>
    <w:rsid w:val="00DB376D"/>
    <w:rsid w:val="00DB380C"/>
    <w:rsid w:val="00DB3E82"/>
    <w:rsid w:val="00DB4D62"/>
    <w:rsid w:val="00DB61C7"/>
    <w:rsid w:val="00DB701D"/>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33C1D"/>
    <w:rsid w:val="00E400E1"/>
    <w:rsid w:val="00E45139"/>
    <w:rsid w:val="00E476BB"/>
    <w:rsid w:val="00E50215"/>
    <w:rsid w:val="00E51A63"/>
    <w:rsid w:val="00E60F28"/>
    <w:rsid w:val="00E7469E"/>
    <w:rsid w:val="00E768D2"/>
    <w:rsid w:val="00E776E4"/>
    <w:rsid w:val="00E81C4E"/>
    <w:rsid w:val="00E86C08"/>
    <w:rsid w:val="00E91570"/>
    <w:rsid w:val="00EA2046"/>
    <w:rsid w:val="00EA24FB"/>
    <w:rsid w:val="00EA50D0"/>
    <w:rsid w:val="00EB230D"/>
    <w:rsid w:val="00EB2F9B"/>
    <w:rsid w:val="00EB6CC4"/>
    <w:rsid w:val="00EC000B"/>
    <w:rsid w:val="00EC1E1E"/>
    <w:rsid w:val="00EC2DCD"/>
    <w:rsid w:val="00EC4D04"/>
    <w:rsid w:val="00ED22A1"/>
    <w:rsid w:val="00EE37CA"/>
    <w:rsid w:val="00EE5BB5"/>
    <w:rsid w:val="00EF2567"/>
    <w:rsid w:val="00F04AD7"/>
    <w:rsid w:val="00F23563"/>
    <w:rsid w:val="00F350B4"/>
    <w:rsid w:val="00F4261A"/>
    <w:rsid w:val="00F46EA7"/>
    <w:rsid w:val="00F5328A"/>
    <w:rsid w:val="00F629E7"/>
    <w:rsid w:val="00F7647B"/>
    <w:rsid w:val="00F7721E"/>
    <w:rsid w:val="00F9508F"/>
    <w:rsid w:val="00FA728E"/>
    <w:rsid w:val="00FB57EE"/>
    <w:rsid w:val="00FB654E"/>
    <w:rsid w:val="00FC682E"/>
    <w:rsid w:val="00FD138A"/>
    <w:rsid w:val="00FE506C"/>
    <w:rsid w:val="00FF22A3"/>
    <w:rsid w:val="00FF323D"/>
    <w:rsid w:val="014F4893"/>
    <w:rsid w:val="019127B6"/>
    <w:rsid w:val="023F42AD"/>
    <w:rsid w:val="02621563"/>
    <w:rsid w:val="02D634CE"/>
    <w:rsid w:val="02E34EA5"/>
    <w:rsid w:val="03383346"/>
    <w:rsid w:val="03433B9C"/>
    <w:rsid w:val="035E0DBD"/>
    <w:rsid w:val="042B5F18"/>
    <w:rsid w:val="04500CD8"/>
    <w:rsid w:val="04A67F3A"/>
    <w:rsid w:val="04F454C6"/>
    <w:rsid w:val="058101E9"/>
    <w:rsid w:val="05DD4740"/>
    <w:rsid w:val="05E03FCC"/>
    <w:rsid w:val="0643643E"/>
    <w:rsid w:val="06500E91"/>
    <w:rsid w:val="067D155B"/>
    <w:rsid w:val="06817C74"/>
    <w:rsid w:val="06B833C2"/>
    <w:rsid w:val="077706A0"/>
    <w:rsid w:val="086F54F4"/>
    <w:rsid w:val="08FD5EB9"/>
    <w:rsid w:val="093D0ADF"/>
    <w:rsid w:val="09BB195E"/>
    <w:rsid w:val="0A9364AD"/>
    <w:rsid w:val="0AD112F9"/>
    <w:rsid w:val="0B021280"/>
    <w:rsid w:val="0B104356"/>
    <w:rsid w:val="0C2C7281"/>
    <w:rsid w:val="0CAA6A56"/>
    <w:rsid w:val="0CCD2CD1"/>
    <w:rsid w:val="0D844B1B"/>
    <w:rsid w:val="0E8F3D69"/>
    <w:rsid w:val="10620D5B"/>
    <w:rsid w:val="1142587A"/>
    <w:rsid w:val="12CE11AA"/>
    <w:rsid w:val="13B31514"/>
    <w:rsid w:val="14054F49"/>
    <w:rsid w:val="149208C7"/>
    <w:rsid w:val="14D20DA0"/>
    <w:rsid w:val="14DE58BA"/>
    <w:rsid w:val="15211C4B"/>
    <w:rsid w:val="153656F6"/>
    <w:rsid w:val="156B1418"/>
    <w:rsid w:val="15CB1E3B"/>
    <w:rsid w:val="15E24861"/>
    <w:rsid w:val="17586E1A"/>
    <w:rsid w:val="17D91376"/>
    <w:rsid w:val="180B783B"/>
    <w:rsid w:val="181F6915"/>
    <w:rsid w:val="1858180A"/>
    <w:rsid w:val="18E30141"/>
    <w:rsid w:val="18F82798"/>
    <w:rsid w:val="19A81450"/>
    <w:rsid w:val="19C4349D"/>
    <w:rsid w:val="1A1E49AB"/>
    <w:rsid w:val="1ABA4CF6"/>
    <w:rsid w:val="1AE14343"/>
    <w:rsid w:val="1B063CCA"/>
    <w:rsid w:val="1B357174"/>
    <w:rsid w:val="1B4967D5"/>
    <w:rsid w:val="1B522ECD"/>
    <w:rsid w:val="1BC80A07"/>
    <w:rsid w:val="1BCB0C12"/>
    <w:rsid w:val="1C764FFA"/>
    <w:rsid w:val="1CB17D58"/>
    <w:rsid w:val="1D3A56BE"/>
    <w:rsid w:val="1D7B6F93"/>
    <w:rsid w:val="1F3F01CE"/>
    <w:rsid w:val="1F6D244B"/>
    <w:rsid w:val="1F7D6141"/>
    <w:rsid w:val="1F971487"/>
    <w:rsid w:val="1FDE63B9"/>
    <w:rsid w:val="1FFBA9AC"/>
    <w:rsid w:val="20AE3E62"/>
    <w:rsid w:val="20CF0495"/>
    <w:rsid w:val="20DD736E"/>
    <w:rsid w:val="20FE7045"/>
    <w:rsid w:val="21C81D0C"/>
    <w:rsid w:val="21D84004"/>
    <w:rsid w:val="228F15A2"/>
    <w:rsid w:val="22E72129"/>
    <w:rsid w:val="23CF3606"/>
    <w:rsid w:val="244A286C"/>
    <w:rsid w:val="25545725"/>
    <w:rsid w:val="25873673"/>
    <w:rsid w:val="2605469A"/>
    <w:rsid w:val="26233A75"/>
    <w:rsid w:val="26404627"/>
    <w:rsid w:val="2685280A"/>
    <w:rsid w:val="268A16B8"/>
    <w:rsid w:val="279751BB"/>
    <w:rsid w:val="279F35CF"/>
    <w:rsid w:val="27AE55C0"/>
    <w:rsid w:val="29A22F02"/>
    <w:rsid w:val="2A6B6FC6"/>
    <w:rsid w:val="2B4F7A13"/>
    <w:rsid w:val="2C1B525E"/>
    <w:rsid w:val="2C5379A3"/>
    <w:rsid w:val="2D4F1E09"/>
    <w:rsid w:val="2DC9774E"/>
    <w:rsid w:val="2DF751F3"/>
    <w:rsid w:val="2E000C97"/>
    <w:rsid w:val="2E891740"/>
    <w:rsid w:val="2ED55B28"/>
    <w:rsid w:val="2ED75A9F"/>
    <w:rsid w:val="2EE34460"/>
    <w:rsid w:val="2F5842D0"/>
    <w:rsid w:val="2F9D1981"/>
    <w:rsid w:val="2FC578BE"/>
    <w:rsid w:val="2FFFF80D"/>
    <w:rsid w:val="306A2547"/>
    <w:rsid w:val="30A959D5"/>
    <w:rsid w:val="31172428"/>
    <w:rsid w:val="314B586D"/>
    <w:rsid w:val="316A07AA"/>
    <w:rsid w:val="31CE0296"/>
    <w:rsid w:val="31DA771B"/>
    <w:rsid w:val="32034DFD"/>
    <w:rsid w:val="331C5E9E"/>
    <w:rsid w:val="334D60A5"/>
    <w:rsid w:val="339F5829"/>
    <w:rsid w:val="33C61EE3"/>
    <w:rsid w:val="33EB377F"/>
    <w:rsid w:val="348E350D"/>
    <w:rsid w:val="34F23DD0"/>
    <w:rsid w:val="359E4EC6"/>
    <w:rsid w:val="35B372CE"/>
    <w:rsid w:val="35BD418B"/>
    <w:rsid w:val="35D9667B"/>
    <w:rsid w:val="35F8221C"/>
    <w:rsid w:val="36992A33"/>
    <w:rsid w:val="36CD55F9"/>
    <w:rsid w:val="36D4221D"/>
    <w:rsid w:val="373A5771"/>
    <w:rsid w:val="375743B3"/>
    <w:rsid w:val="37A87F65"/>
    <w:rsid w:val="37C80E48"/>
    <w:rsid w:val="37E616C1"/>
    <w:rsid w:val="38055562"/>
    <w:rsid w:val="38151BA1"/>
    <w:rsid w:val="38183D07"/>
    <w:rsid w:val="38303DCF"/>
    <w:rsid w:val="394B6B18"/>
    <w:rsid w:val="3A5C2DAD"/>
    <w:rsid w:val="3A9E4562"/>
    <w:rsid w:val="3AFE4697"/>
    <w:rsid w:val="3B3BE275"/>
    <w:rsid w:val="3B9A0CEA"/>
    <w:rsid w:val="3BFF41E7"/>
    <w:rsid w:val="3C3070FF"/>
    <w:rsid w:val="3C337BEC"/>
    <w:rsid w:val="3C4469CB"/>
    <w:rsid w:val="3CA04F1F"/>
    <w:rsid w:val="3CAB2861"/>
    <w:rsid w:val="3DEFE6D2"/>
    <w:rsid w:val="3E556DD3"/>
    <w:rsid w:val="3EFF5BC5"/>
    <w:rsid w:val="3F290DBA"/>
    <w:rsid w:val="3F995A59"/>
    <w:rsid w:val="3F9A4F5B"/>
    <w:rsid w:val="3FD839F2"/>
    <w:rsid w:val="40B51316"/>
    <w:rsid w:val="41611C1B"/>
    <w:rsid w:val="4165693D"/>
    <w:rsid w:val="41EA0D9C"/>
    <w:rsid w:val="42291FBB"/>
    <w:rsid w:val="423050F8"/>
    <w:rsid w:val="424500E8"/>
    <w:rsid w:val="42813BA5"/>
    <w:rsid w:val="428E6874"/>
    <w:rsid w:val="430C6C95"/>
    <w:rsid w:val="447A5A18"/>
    <w:rsid w:val="45F81F09"/>
    <w:rsid w:val="4622270E"/>
    <w:rsid w:val="47D324F0"/>
    <w:rsid w:val="48111527"/>
    <w:rsid w:val="482173AE"/>
    <w:rsid w:val="49D40A5E"/>
    <w:rsid w:val="4B367F93"/>
    <w:rsid w:val="4C356EDA"/>
    <w:rsid w:val="4C7A3BF2"/>
    <w:rsid w:val="4CE76CFB"/>
    <w:rsid w:val="4DA27269"/>
    <w:rsid w:val="4E397A0D"/>
    <w:rsid w:val="4E3B47E2"/>
    <w:rsid w:val="4E4166BF"/>
    <w:rsid w:val="4EA56E6D"/>
    <w:rsid w:val="4F0F2539"/>
    <w:rsid w:val="4F6A4E69"/>
    <w:rsid w:val="4F894099"/>
    <w:rsid w:val="4FBBE3BD"/>
    <w:rsid w:val="4FE53EE9"/>
    <w:rsid w:val="4FE60998"/>
    <w:rsid w:val="5057463D"/>
    <w:rsid w:val="506643DA"/>
    <w:rsid w:val="50CF1F80"/>
    <w:rsid w:val="512B026F"/>
    <w:rsid w:val="51414393"/>
    <w:rsid w:val="515D0643"/>
    <w:rsid w:val="518266FB"/>
    <w:rsid w:val="52224DE6"/>
    <w:rsid w:val="52D618B0"/>
    <w:rsid w:val="52DC0708"/>
    <w:rsid w:val="533B1B4E"/>
    <w:rsid w:val="536E08E0"/>
    <w:rsid w:val="53A611ED"/>
    <w:rsid w:val="53D77AC9"/>
    <w:rsid w:val="54295E4B"/>
    <w:rsid w:val="542A026B"/>
    <w:rsid w:val="55452810"/>
    <w:rsid w:val="55DB13C7"/>
    <w:rsid w:val="5664038F"/>
    <w:rsid w:val="567A0BDF"/>
    <w:rsid w:val="56C01454"/>
    <w:rsid w:val="56F12952"/>
    <w:rsid w:val="571400B0"/>
    <w:rsid w:val="5726583A"/>
    <w:rsid w:val="5746243C"/>
    <w:rsid w:val="576A2A02"/>
    <w:rsid w:val="57793128"/>
    <w:rsid w:val="579F706F"/>
    <w:rsid w:val="57B7EAC0"/>
    <w:rsid w:val="57D60097"/>
    <w:rsid w:val="58496ABB"/>
    <w:rsid w:val="58AE5938"/>
    <w:rsid w:val="58DA1EB2"/>
    <w:rsid w:val="58FF37B8"/>
    <w:rsid w:val="59177DD3"/>
    <w:rsid w:val="5993203C"/>
    <w:rsid w:val="5A317655"/>
    <w:rsid w:val="5A464619"/>
    <w:rsid w:val="5AEDD0DE"/>
    <w:rsid w:val="5B0F23A1"/>
    <w:rsid w:val="5B127639"/>
    <w:rsid w:val="5BAD3056"/>
    <w:rsid w:val="5C923D75"/>
    <w:rsid w:val="5CE22611"/>
    <w:rsid w:val="5CE80AB0"/>
    <w:rsid w:val="5D04656D"/>
    <w:rsid w:val="5DEE3CCB"/>
    <w:rsid w:val="5DF918AE"/>
    <w:rsid w:val="5DFE1159"/>
    <w:rsid w:val="5E541D16"/>
    <w:rsid w:val="5EB642EC"/>
    <w:rsid w:val="5EF00C22"/>
    <w:rsid w:val="5FA174C6"/>
    <w:rsid w:val="5FB17120"/>
    <w:rsid w:val="5FC8ED47"/>
    <w:rsid w:val="5FD0793B"/>
    <w:rsid w:val="5FDFD686"/>
    <w:rsid w:val="5FFC8238"/>
    <w:rsid w:val="60310561"/>
    <w:rsid w:val="60BA6EBD"/>
    <w:rsid w:val="613F5EF9"/>
    <w:rsid w:val="614F7E1C"/>
    <w:rsid w:val="61E11B13"/>
    <w:rsid w:val="622C4A1E"/>
    <w:rsid w:val="623C6124"/>
    <w:rsid w:val="626544F2"/>
    <w:rsid w:val="62AA79FF"/>
    <w:rsid w:val="62CB1227"/>
    <w:rsid w:val="62D1007E"/>
    <w:rsid w:val="636C365E"/>
    <w:rsid w:val="63C079A0"/>
    <w:rsid w:val="63E857E5"/>
    <w:rsid w:val="640775BE"/>
    <w:rsid w:val="651A633D"/>
    <w:rsid w:val="65EE0CA2"/>
    <w:rsid w:val="65FE0EE5"/>
    <w:rsid w:val="661B03F4"/>
    <w:rsid w:val="66356423"/>
    <w:rsid w:val="663D12E2"/>
    <w:rsid w:val="665977DE"/>
    <w:rsid w:val="67E71B6D"/>
    <w:rsid w:val="68BF2482"/>
    <w:rsid w:val="68DE4FFE"/>
    <w:rsid w:val="697B3115"/>
    <w:rsid w:val="69A1759A"/>
    <w:rsid w:val="69A22CDE"/>
    <w:rsid w:val="69BD2E65"/>
    <w:rsid w:val="69DF1BE2"/>
    <w:rsid w:val="6A2A5603"/>
    <w:rsid w:val="6ACF108E"/>
    <w:rsid w:val="6AE74152"/>
    <w:rsid w:val="6AF99182"/>
    <w:rsid w:val="6B1E6C35"/>
    <w:rsid w:val="6B250CC2"/>
    <w:rsid w:val="6B352872"/>
    <w:rsid w:val="6C3C3D4C"/>
    <w:rsid w:val="6C8934D3"/>
    <w:rsid w:val="6D2B1474"/>
    <w:rsid w:val="6D496A0C"/>
    <w:rsid w:val="6E83783D"/>
    <w:rsid w:val="6EB00CB4"/>
    <w:rsid w:val="6EBC0723"/>
    <w:rsid w:val="6F080662"/>
    <w:rsid w:val="6F3D92A8"/>
    <w:rsid w:val="6F4F630E"/>
    <w:rsid w:val="6FBB10C2"/>
    <w:rsid w:val="6FBFCDC5"/>
    <w:rsid w:val="6FDB730A"/>
    <w:rsid w:val="700A4B8C"/>
    <w:rsid w:val="7040034C"/>
    <w:rsid w:val="707E72FF"/>
    <w:rsid w:val="71D2307F"/>
    <w:rsid w:val="71DF1132"/>
    <w:rsid w:val="72097BAE"/>
    <w:rsid w:val="72263E6C"/>
    <w:rsid w:val="734E2D80"/>
    <w:rsid w:val="73624258"/>
    <w:rsid w:val="736F3D33"/>
    <w:rsid w:val="738E5BD9"/>
    <w:rsid w:val="7393773A"/>
    <w:rsid w:val="73A017A5"/>
    <w:rsid w:val="73D27CC0"/>
    <w:rsid w:val="73EB65BD"/>
    <w:rsid w:val="74174334"/>
    <w:rsid w:val="74C67139"/>
    <w:rsid w:val="755778E6"/>
    <w:rsid w:val="75C16B30"/>
    <w:rsid w:val="763E532E"/>
    <w:rsid w:val="767A64F4"/>
    <w:rsid w:val="76F15F89"/>
    <w:rsid w:val="770C0F88"/>
    <w:rsid w:val="777FAFD9"/>
    <w:rsid w:val="77802E20"/>
    <w:rsid w:val="77DF183E"/>
    <w:rsid w:val="77EB2969"/>
    <w:rsid w:val="780659D7"/>
    <w:rsid w:val="783343AA"/>
    <w:rsid w:val="787D05B7"/>
    <w:rsid w:val="78A3591C"/>
    <w:rsid w:val="78B95140"/>
    <w:rsid w:val="791668D4"/>
    <w:rsid w:val="79EE3059"/>
    <w:rsid w:val="79FCFE0D"/>
    <w:rsid w:val="7A9A2F4D"/>
    <w:rsid w:val="7AC35E02"/>
    <w:rsid w:val="7AFD4FEE"/>
    <w:rsid w:val="7AFFC02C"/>
    <w:rsid w:val="7B167964"/>
    <w:rsid w:val="7B490474"/>
    <w:rsid w:val="7B661EFE"/>
    <w:rsid w:val="7B6D75F1"/>
    <w:rsid w:val="7B79D3FB"/>
    <w:rsid w:val="7BEB4002"/>
    <w:rsid w:val="7BFB6BB2"/>
    <w:rsid w:val="7BFBDA20"/>
    <w:rsid w:val="7C7E2011"/>
    <w:rsid w:val="7CB62F91"/>
    <w:rsid w:val="7CBEB268"/>
    <w:rsid w:val="7CD67C72"/>
    <w:rsid w:val="7CF107D5"/>
    <w:rsid w:val="7CFB8B52"/>
    <w:rsid w:val="7D0E4B87"/>
    <w:rsid w:val="7D731D61"/>
    <w:rsid w:val="7D965A4F"/>
    <w:rsid w:val="7DCB394B"/>
    <w:rsid w:val="7DFA1A94"/>
    <w:rsid w:val="7E134D2A"/>
    <w:rsid w:val="7E7D6D1F"/>
    <w:rsid w:val="7E7E4CE2"/>
    <w:rsid w:val="7EB44360"/>
    <w:rsid w:val="7EBBE315"/>
    <w:rsid w:val="7EFFD8A6"/>
    <w:rsid w:val="7F0B7D77"/>
    <w:rsid w:val="7F10459E"/>
    <w:rsid w:val="7F2A644F"/>
    <w:rsid w:val="7F556C75"/>
    <w:rsid w:val="7F7729EC"/>
    <w:rsid w:val="7F7EE16C"/>
    <w:rsid w:val="7FCFD19A"/>
    <w:rsid w:val="7FF7E454"/>
    <w:rsid w:val="86EB210E"/>
    <w:rsid w:val="94F70455"/>
    <w:rsid w:val="9FF75FD0"/>
    <w:rsid w:val="9FFF4648"/>
    <w:rsid w:val="AFBB7006"/>
    <w:rsid w:val="AFE5B119"/>
    <w:rsid w:val="BBFF3EAE"/>
    <w:rsid w:val="BDFA9C51"/>
    <w:rsid w:val="BEFF12E0"/>
    <w:rsid w:val="BFFB2FDF"/>
    <w:rsid w:val="BFFF1AE2"/>
    <w:rsid w:val="C92FA01B"/>
    <w:rsid w:val="CA9D552E"/>
    <w:rsid w:val="CFDFDF49"/>
    <w:rsid w:val="D7622D4C"/>
    <w:rsid w:val="D9567E27"/>
    <w:rsid w:val="DD3F443B"/>
    <w:rsid w:val="DE8F6DD6"/>
    <w:rsid w:val="DEEB6A05"/>
    <w:rsid w:val="DFFD7803"/>
    <w:rsid w:val="E78FC774"/>
    <w:rsid w:val="EA74E87A"/>
    <w:rsid w:val="EAE72294"/>
    <w:rsid w:val="EB6FFCCB"/>
    <w:rsid w:val="EB72ACE4"/>
    <w:rsid w:val="EDAF8C62"/>
    <w:rsid w:val="EDEA5B65"/>
    <w:rsid w:val="EE5BCD6D"/>
    <w:rsid w:val="EEFD948E"/>
    <w:rsid w:val="EFDBB045"/>
    <w:rsid w:val="F1FA5C0E"/>
    <w:rsid w:val="F3FFE4D6"/>
    <w:rsid w:val="F57A579B"/>
    <w:rsid w:val="F5D9D4D3"/>
    <w:rsid w:val="F6FF63CA"/>
    <w:rsid w:val="F7B0471D"/>
    <w:rsid w:val="F7BF6304"/>
    <w:rsid w:val="F7E77E84"/>
    <w:rsid w:val="F97769C7"/>
    <w:rsid w:val="FB8F48B4"/>
    <w:rsid w:val="FBCFEB4E"/>
    <w:rsid w:val="FBFB41DD"/>
    <w:rsid w:val="FD78060B"/>
    <w:rsid w:val="FDFDC68A"/>
    <w:rsid w:val="FDFE01CE"/>
    <w:rsid w:val="FE6FD17F"/>
    <w:rsid w:val="FEB7BD90"/>
    <w:rsid w:val="FF6F2CC3"/>
    <w:rsid w:val="FF78C9F0"/>
    <w:rsid w:val="FFDD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2"/>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1"/>
    <w:autoRedefine/>
    <w:qFormat/>
    <w:uiPriority w:val="0"/>
    <w:pPr>
      <w:keepNext/>
      <w:keepLines/>
      <w:spacing w:before="120" w:after="120" w:line="360" w:lineRule="exact"/>
      <w:jc w:val="center"/>
      <w:outlineLvl w:val="1"/>
    </w:pPr>
    <w:rPr>
      <w:rFonts w:ascii="宋体" w:hAnsi="宋体"/>
      <w:b/>
      <w:sz w:val="24"/>
      <w:szCs w:val="24"/>
    </w:rPr>
  </w:style>
  <w:style w:type="paragraph" w:styleId="9">
    <w:name w:val="heading 3"/>
    <w:basedOn w:val="1"/>
    <w:next w:val="1"/>
    <w:link w:val="205"/>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10">
    <w:name w:val="heading 4"/>
    <w:basedOn w:val="1"/>
    <w:next w:val="5"/>
    <w:link w:val="90"/>
    <w:autoRedefine/>
    <w:qFormat/>
    <w:uiPriority w:val="0"/>
    <w:pPr>
      <w:keepNext/>
      <w:keepLines/>
      <w:spacing w:before="120" w:after="120"/>
      <w:outlineLvl w:val="3"/>
    </w:pPr>
    <w:rPr>
      <w:rFonts w:ascii="Arial" w:hAnsi="Arial" w:eastAsia="黑体"/>
      <w:b/>
      <w:sz w:val="20"/>
    </w:rPr>
  </w:style>
  <w:style w:type="paragraph" w:styleId="11">
    <w:name w:val="heading 5"/>
    <w:basedOn w:val="1"/>
    <w:next w:val="5"/>
    <w:link w:val="80"/>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2">
    <w:name w:val="heading 6"/>
    <w:basedOn w:val="1"/>
    <w:next w:val="1"/>
    <w:link w:val="124"/>
    <w:autoRedefine/>
    <w:qFormat/>
    <w:uiPriority w:val="0"/>
    <w:pPr>
      <w:keepNext/>
      <w:keepLines/>
      <w:spacing w:before="240" w:after="64" w:line="319" w:lineRule="auto"/>
      <w:outlineLvl w:val="5"/>
    </w:pPr>
    <w:rPr>
      <w:rFonts w:ascii="Arial" w:hAnsi="Arial" w:eastAsia="黑体"/>
      <w:b/>
      <w:bCs/>
      <w:sz w:val="24"/>
      <w:szCs w:val="24"/>
    </w:rPr>
  </w:style>
  <w:style w:type="paragraph" w:styleId="13">
    <w:name w:val="heading 7"/>
    <w:basedOn w:val="1"/>
    <w:next w:val="1"/>
    <w:link w:val="139"/>
    <w:autoRedefine/>
    <w:qFormat/>
    <w:uiPriority w:val="0"/>
    <w:pPr>
      <w:keepNext/>
      <w:keepLines/>
      <w:spacing w:before="240" w:after="64" w:line="319" w:lineRule="auto"/>
      <w:outlineLvl w:val="6"/>
    </w:pPr>
    <w:rPr>
      <w:b/>
      <w:bCs/>
      <w:sz w:val="24"/>
      <w:szCs w:val="24"/>
    </w:rPr>
  </w:style>
  <w:style w:type="paragraph" w:styleId="14">
    <w:name w:val="heading 8"/>
    <w:basedOn w:val="1"/>
    <w:next w:val="1"/>
    <w:link w:val="153"/>
    <w:autoRedefine/>
    <w:qFormat/>
    <w:uiPriority w:val="0"/>
    <w:pPr>
      <w:keepNext/>
      <w:keepLines/>
      <w:spacing w:before="240" w:after="64" w:line="319" w:lineRule="auto"/>
      <w:outlineLvl w:val="7"/>
    </w:pPr>
    <w:rPr>
      <w:rFonts w:ascii="Arial" w:hAnsi="Arial" w:eastAsia="黑体"/>
      <w:sz w:val="24"/>
      <w:szCs w:val="24"/>
    </w:rPr>
  </w:style>
  <w:style w:type="paragraph" w:styleId="15">
    <w:name w:val="heading 9"/>
    <w:basedOn w:val="1"/>
    <w:next w:val="1"/>
    <w:link w:val="159"/>
    <w:autoRedefine/>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styleId="5">
    <w:name w:val="Normal Indent"/>
    <w:basedOn w:val="1"/>
    <w:next w:val="6"/>
    <w:autoRedefine/>
    <w:qFormat/>
    <w:uiPriority w:val="0"/>
    <w:pPr>
      <w:ind w:firstLine="420"/>
    </w:pPr>
  </w:style>
  <w:style w:type="paragraph" w:styleId="6">
    <w:name w:val="Body Text First Indent 2"/>
    <w:basedOn w:val="7"/>
    <w:next w:val="1"/>
    <w:autoRedefine/>
    <w:qFormat/>
    <w:uiPriority w:val="0"/>
    <w:pPr>
      <w:ind w:firstLine="420" w:firstLineChars="200"/>
    </w:pPr>
  </w:style>
  <w:style w:type="paragraph" w:styleId="7">
    <w:name w:val="Body Text Indent"/>
    <w:basedOn w:val="1"/>
    <w:next w:val="8"/>
    <w:link w:val="171"/>
    <w:autoRedefine/>
    <w:qFormat/>
    <w:uiPriority w:val="0"/>
    <w:pPr>
      <w:ind w:firstLine="645"/>
    </w:pPr>
    <w:rPr>
      <w:sz w:val="20"/>
    </w:rPr>
  </w:style>
  <w:style w:type="paragraph" w:styleId="8">
    <w:name w:val="envelope return"/>
    <w:basedOn w:val="1"/>
    <w:autoRedefine/>
    <w:unhideWhenUsed/>
    <w:qFormat/>
    <w:uiPriority w:val="99"/>
    <w:pPr>
      <w:snapToGrid w:val="0"/>
    </w:pPr>
    <w:rPr>
      <w:rFonts w:ascii="Arial" w:hAnsi="Arial"/>
    </w:rPr>
  </w:style>
  <w:style w:type="paragraph" w:styleId="16">
    <w:name w:val="List 3"/>
    <w:basedOn w:val="1"/>
    <w:autoRedefine/>
    <w:qFormat/>
    <w:uiPriority w:val="0"/>
    <w:pPr>
      <w:ind w:left="1260" w:hanging="420"/>
    </w:pPr>
  </w:style>
  <w:style w:type="paragraph" w:styleId="17">
    <w:name w:val="toc 7"/>
    <w:basedOn w:val="1"/>
    <w:next w:val="1"/>
    <w:autoRedefine/>
    <w:qFormat/>
    <w:uiPriority w:val="0"/>
    <w:pPr>
      <w:ind w:left="1260"/>
      <w:jc w:val="left"/>
    </w:pPr>
    <w:rPr>
      <w:sz w:val="18"/>
    </w:rPr>
  </w:style>
  <w:style w:type="paragraph" w:styleId="18">
    <w:name w:val="List Number 2"/>
    <w:basedOn w:val="1"/>
    <w:autoRedefine/>
    <w:qFormat/>
    <w:uiPriority w:val="0"/>
    <w:pPr>
      <w:tabs>
        <w:tab w:val="left" w:pos="1440"/>
      </w:tabs>
      <w:spacing w:line="360" w:lineRule="auto"/>
      <w:ind w:left="1440" w:hanging="1440"/>
    </w:pPr>
    <w:rPr>
      <w:sz w:val="24"/>
      <w:szCs w:val="24"/>
    </w:rPr>
  </w:style>
  <w:style w:type="paragraph" w:styleId="19">
    <w:name w:val="index 8"/>
    <w:basedOn w:val="1"/>
    <w:next w:val="1"/>
    <w:autoRedefine/>
    <w:qFormat/>
    <w:uiPriority w:val="0"/>
    <w:pPr>
      <w:ind w:left="2940"/>
    </w:pPr>
  </w:style>
  <w:style w:type="paragraph" w:styleId="20">
    <w:name w:val="List Number"/>
    <w:basedOn w:val="1"/>
    <w:autoRedefine/>
    <w:qFormat/>
    <w:uiPriority w:val="0"/>
    <w:pPr>
      <w:tabs>
        <w:tab w:val="left" w:pos="2952"/>
      </w:tabs>
      <w:ind w:left="2952" w:hanging="432"/>
    </w:pPr>
    <w:rPr>
      <w:szCs w:val="24"/>
    </w:rPr>
  </w:style>
  <w:style w:type="paragraph" w:styleId="21">
    <w:name w:val="index 5"/>
    <w:basedOn w:val="1"/>
    <w:next w:val="1"/>
    <w:autoRedefine/>
    <w:qFormat/>
    <w:uiPriority w:val="0"/>
    <w:pPr>
      <w:ind w:left="1680"/>
    </w:pPr>
  </w:style>
  <w:style w:type="paragraph" w:styleId="22">
    <w:name w:val="Document Map"/>
    <w:basedOn w:val="1"/>
    <w:link w:val="198"/>
    <w:autoRedefine/>
    <w:qFormat/>
    <w:uiPriority w:val="0"/>
    <w:pPr>
      <w:shd w:val="clear" w:color="auto" w:fill="000080"/>
    </w:pPr>
    <w:rPr>
      <w:rFonts w:ascii="宋体"/>
      <w:sz w:val="18"/>
      <w:szCs w:val="18"/>
    </w:rPr>
  </w:style>
  <w:style w:type="paragraph" w:styleId="23">
    <w:name w:val="annotation text"/>
    <w:basedOn w:val="1"/>
    <w:link w:val="130"/>
    <w:autoRedefine/>
    <w:qFormat/>
    <w:uiPriority w:val="99"/>
    <w:pPr>
      <w:jc w:val="left"/>
    </w:pPr>
    <w:rPr>
      <w:sz w:val="20"/>
    </w:rPr>
  </w:style>
  <w:style w:type="paragraph" w:styleId="24">
    <w:name w:val="index 6"/>
    <w:basedOn w:val="1"/>
    <w:next w:val="1"/>
    <w:autoRedefine/>
    <w:qFormat/>
    <w:uiPriority w:val="0"/>
    <w:pPr>
      <w:ind w:left="2100"/>
    </w:pPr>
  </w:style>
  <w:style w:type="paragraph" w:styleId="25">
    <w:name w:val="Salutation"/>
    <w:basedOn w:val="1"/>
    <w:next w:val="1"/>
    <w:link w:val="194"/>
    <w:autoRedefine/>
    <w:qFormat/>
    <w:uiPriority w:val="0"/>
    <w:rPr>
      <w:rFonts w:ascii="仿宋_GB2312" w:eastAsia="仿宋_GB2312"/>
      <w:sz w:val="20"/>
    </w:rPr>
  </w:style>
  <w:style w:type="paragraph" w:styleId="26">
    <w:name w:val="Body Text 3"/>
    <w:basedOn w:val="1"/>
    <w:link w:val="91"/>
    <w:autoRedefine/>
    <w:qFormat/>
    <w:uiPriority w:val="0"/>
    <w:rPr>
      <w:rFonts w:ascii="仿宋_GB2312" w:hAnsi="Arial" w:eastAsia="仿宋_GB2312"/>
      <w:sz w:val="20"/>
    </w:rPr>
  </w:style>
  <w:style w:type="paragraph" w:styleId="27">
    <w:name w:val="Body Text"/>
    <w:basedOn w:val="1"/>
    <w:link w:val="78"/>
    <w:autoRedefine/>
    <w:qFormat/>
    <w:uiPriority w:val="0"/>
    <w:rPr>
      <w:rFonts w:ascii="楷体_GB2312" w:hAnsi="Arial" w:eastAsia="楷体_GB2312"/>
      <w:sz w:val="20"/>
    </w:rPr>
  </w:style>
  <w:style w:type="paragraph" w:styleId="28">
    <w:name w:val="Block Text"/>
    <w:basedOn w:val="1"/>
    <w:autoRedefine/>
    <w:unhideWhenUsed/>
    <w:qFormat/>
    <w:uiPriority w:val="99"/>
    <w:pPr>
      <w:spacing w:after="120"/>
      <w:ind w:left="1440" w:leftChars="700" w:right="1440" w:rightChars="700"/>
    </w:pPr>
    <w:rPr>
      <w:szCs w:val="24"/>
    </w:rPr>
  </w:style>
  <w:style w:type="paragraph" w:styleId="29">
    <w:name w:val="index 4"/>
    <w:basedOn w:val="1"/>
    <w:next w:val="1"/>
    <w:autoRedefine/>
    <w:qFormat/>
    <w:uiPriority w:val="0"/>
    <w:pPr>
      <w:ind w:left="1260"/>
    </w:pPr>
  </w:style>
  <w:style w:type="paragraph" w:styleId="30">
    <w:name w:val="toc 5"/>
    <w:basedOn w:val="1"/>
    <w:next w:val="1"/>
    <w:autoRedefine/>
    <w:qFormat/>
    <w:uiPriority w:val="0"/>
    <w:pPr>
      <w:ind w:left="840"/>
      <w:jc w:val="left"/>
    </w:pPr>
    <w:rPr>
      <w:sz w:val="18"/>
    </w:rPr>
  </w:style>
  <w:style w:type="paragraph" w:styleId="31">
    <w:name w:val="toc 3"/>
    <w:basedOn w:val="1"/>
    <w:next w:val="1"/>
    <w:autoRedefine/>
    <w:qFormat/>
    <w:uiPriority w:val="39"/>
    <w:pPr>
      <w:ind w:left="420"/>
      <w:jc w:val="left"/>
    </w:pPr>
    <w:rPr>
      <w:i/>
      <w:sz w:val="20"/>
    </w:rPr>
  </w:style>
  <w:style w:type="paragraph" w:styleId="32">
    <w:name w:val="Plain Text"/>
    <w:basedOn w:val="1"/>
    <w:link w:val="123"/>
    <w:autoRedefine/>
    <w:qFormat/>
    <w:uiPriority w:val="99"/>
    <w:rPr>
      <w:rFonts w:ascii="宋体" w:hAnsi="Courier New" w:cs="Courier New"/>
      <w:szCs w:val="21"/>
    </w:rPr>
  </w:style>
  <w:style w:type="paragraph" w:styleId="33">
    <w:name w:val="toc 8"/>
    <w:basedOn w:val="1"/>
    <w:next w:val="1"/>
    <w:autoRedefine/>
    <w:qFormat/>
    <w:uiPriority w:val="0"/>
    <w:pPr>
      <w:ind w:left="1470"/>
      <w:jc w:val="left"/>
    </w:pPr>
    <w:rPr>
      <w:sz w:val="18"/>
    </w:rPr>
  </w:style>
  <w:style w:type="paragraph" w:styleId="34">
    <w:name w:val="index 3"/>
    <w:basedOn w:val="1"/>
    <w:next w:val="1"/>
    <w:autoRedefine/>
    <w:qFormat/>
    <w:uiPriority w:val="0"/>
    <w:pPr>
      <w:ind w:left="840"/>
    </w:pPr>
  </w:style>
  <w:style w:type="paragraph" w:styleId="35">
    <w:name w:val="Date"/>
    <w:basedOn w:val="1"/>
    <w:next w:val="1"/>
    <w:link w:val="142"/>
    <w:autoRedefine/>
    <w:qFormat/>
    <w:uiPriority w:val="0"/>
    <w:pPr>
      <w:ind w:left="100" w:leftChars="2500"/>
    </w:pPr>
    <w:rPr>
      <w:sz w:val="20"/>
    </w:rPr>
  </w:style>
  <w:style w:type="paragraph" w:styleId="36">
    <w:name w:val="Body Text Indent 2"/>
    <w:basedOn w:val="1"/>
    <w:link w:val="165"/>
    <w:autoRedefine/>
    <w:qFormat/>
    <w:uiPriority w:val="0"/>
    <w:pPr>
      <w:ind w:left="630" w:firstLine="645"/>
    </w:pPr>
    <w:rPr>
      <w:sz w:val="20"/>
    </w:rPr>
  </w:style>
  <w:style w:type="paragraph" w:styleId="37">
    <w:name w:val="endnote text"/>
    <w:basedOn w:val="1"/>
    <w:link w:val="208"/>
    <w:autoRedefine/>
    <w:qFormat/>
    <w:uiPriority w:val="0"/>
    <w:pPr>
      <w:snapToGrid w:val="0"/>
      <w:jc w:val="left"/>
    </w:pPr>
    <w:rPr>
      <w:kern w:val="0"/>
      <w:sz w:val="24"/>
      <w:szCs w:val="24"/>
    </w:rPr>
  </w:style>
  <w:style w:type="paragraph" w:styleId="38">
    <w:name w:val="Balloon Text"/>
    <w:basedOn w:val="1"/>
    <w:link w:val="207"/>
    <w:autoRedefine/>
    <w:qFormat/>
    <w:uiPriority w:val="0"/>
    <w:rPr>
      <w:sz w:val="18"/>
      <w:szCs w:val="18"/>
    </w:rPr>
  </w:style>
  <w:style w:type="paragraph" w:styleId="39">
    <w:name w:val="footer"/>
    <w:basedOn w:val="1"/>
    <w:link w:val="200"/>
    <w:autoRedefine/>
    <w:qFormat/>
    <w:uiPriority w:val="0"/>
    <w:pPr>
      <w:tabs>
        <w:tab w:val="center" w:pos="4153"/>
        <w:tab w:val="right" w:pos="8306"/>
      </w:tabs>
      <w:snapToGrid w:val="0"/>
      <w:jc w:val="left"/>
    </w:pPr>
    <w:rPr>
      <w:sz w:val="18"/>
      <w:szCs w:val="18"/>
    </w:rPr>
  </w:style>
  <w:style w:type="paragraph" w:styleId="40">
    <w:name w:val="header"/>
    <w:basedOn w:val="1"/>
    <w:link w:val="136"/>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33"/>
    <w:autoRedefine/>
    <w:qFormat/>
    <w:uiPriority w:val="0"/>
    <w:pPr>
      <w:adjustRightInd w:val="0"/>
      <w:spacing w:after="600" w:line="312" w:lineRule="atLeast"/>
      <w:jc w:val="center"/>
      <w:textAlignment w:val="baseline"/>
    </w:pPr>
    <w:rPr>
      <w:rFonts w:eastAsia="仿宋_GB2312"/>
      <w:kern w:val="0"/>
      <w:sz w:val="20"/>
    </w:rPr>
  </w:style>
  <w:style w:type="paragraph" w:styleId="42">
    <w:name w:val="toc 1"/>
    <w:basedOn w:val="1"/>
    <w:next w:val="1"/>
    <w:autoRedefine/>
    <w:qFormat/>
    <w:uiPriority w:val="39"/>
    <w:pPr>
      <w:spacing w:before="120" w:after="120"/>
      <w:jc w:val="left"/>
    </w:pPr>
    <w:rPr>
      <w:b/>
      <w:caps/>
      <w:sz w:val="20"/>
    </w:rPr>
  </w:style>
  <w:style w:type="paragraph" w:styleId="43">
    <w:name w:val="toc 4"/>
    <w:basedOn w:val="1"/>
    <w:next w:val="1"/>
    <w:autoRedefine/>
    <w:qFormat/>
    <w:uiPriority w:val="0"/>
    <w:pPr>
      <w:ind w:left="630"/>
      <w:jc w:val="left"/>
    </w:pPr>
    <w:rPr>
      <w:sz w:val="18"/>
    </w:rPr>
  </w:style>
  <w:style w:type="paragraph" w:styleId="44">
    <w:name w:val="index heading"/>
    <w:basedOn w:val="1"/>
    <w:next w:val="45"/>
    <w:autoRedefine/>
    <w:qFormat/>
    <w:uiPriority w:val="0"/>
  </w:style>
  <w:style w:type="paragraph" w:styleId="45">
    <w:name w:val="index 1"/>
    <w:basedOn w:val="1"/>
    <w:next w:val="1"/>
    <w:autoRedefine/>
    <w:qFormat/>
    <w:uiPriority w:val="0"/>
    <w:rPr>
      <w:rFonts w:ascii="仿宋_GB2312" w:hAnsi="宋体" w:eastAsia="仿宋_GB2312"/>
      <w:sz w:val="30"/>
      <w:szCs w:val="24"/>
    </w:rPr>
  </w:style>
  <w:style w:type="paragraph" w:styleId="46">
    <w:name w:val="Subtitle"/>
    <w:basedOn w:val="1"/>
    <w:next w:val="1"/>
    <w:link w:val="82"/>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7">
    <w:name w:val="footnote text"/>
    <w:basedOn w:val="1"/>
    <w:link w:val="135"/>
    <w:autoRedefine/>
    <w:qFormat/>
    <w:uiPriority w:val="0"/>
    <w:pPr>
      <w:snapToGrid w:val="0"/>
      <w:jc w:val="left"/>
    </w:pPr>
    <w:rPr>
      <w:sz w:val="18"/>
      <w:szCs w:val="18"/>
    </w:rPr>
  </w:style>
  <w:style w:type="paragraph" w:styleId="48">
    <w:name w:val="toc 6"/>
    <w:basedOn w:val="1"/>
    <w:next w:val="1"/>
    <w:autoRedefine/>
    <w:qFormat/>
    <w:uiPriority w:val="0"/>
    <w:pPr>
      <w:ind w:left="1050"/>
      <w:jc w:val="left"/>
    </w:pPr>
    <w:rPr>
      <w:sz w:val="18"/>
    </w:rPr>
  </w:style>
  <w:style w:type="paragraph" w:styleId="49">
    <w:name w:val="Body Text Indent 3"/>
    <w:basedOn w:val="1"/>
    <w:link w:val="115"/>
    <w:autoRedefine/>
    <w:qFormat/>
    <w:uiPriority w:val="0"/>
    <w:pPr>
      <w:ind w:left="645" w:firstLine="645"/>
    </w:pPr>
    <w:rPr>
      <w:sz w:val="16"/>
      <w:szCs w:val="16"/>
    </w:rPr>
  </w:style>
  <w:style w:type="paragraph" w:styleId="50">
    <w:name w:val="index 7"/>
    <w:basedOn w:val="1"/>
    <w:next w:val="1"/>
    <w:autoRedefine/>
    <w:qFormat/>
    <w:uiPriority w:val="0"/>
    <w:pPr>
      <w:ind w:left="2520"/>
    </w:pPr>
  </w:style>
  <w:style w:type="paragraph" w:styleId="51">
    <w:name w:val="index 9"/>
    <w:basedOn w:val="1"/>
    <w:next w:val="1"/>
    <w:autoRedefine/>
    <w:qFormat/>
    <w:uiPriority w:val="0"/>
    <w:pPr>
      <w:ind w:left="3360"/>
    </w:pPr>
  </w:style>
  <w:style w:type="paragraph" w:styleId="52">
    <w:name w:val="table of figures"/>
    <w:basedOn w:val="1"/>
    <w:next w:val="1"/>
    <w:autoRedefine/>
    <w:qFormat/>
    <w:uiPriority w:val="0"/>
    <w:pPr>
      <w:ind w:left="840" w:hanging="420"/>
    </w:pPr>
  </w:style>
  <w:style w:type="paragraph" w:styleId="53">
    <w:name w:val="toc 2"/>
    <w:basedOn w:val="1"/>
    <w:next w:val="1"/>
    <w:autoRedefine/>
    <w:qFormat/>
    <w:uiPriority w:val="0"/>
    <w:pPr>
      <w:ind w:left="210"/>
      <w:jc w:val="left"/>
    </w:pPr>
    <w:rPr>
      <w:smallCaps/>
      <w:sz w:val="20"/>
    </w:rPr>
  </w:style>
  <w:style w:type="paragraph" w:styleId="54">
    <w:name w:val="toc 9"/>
    <w:basedOn w:val="1"/>
    <w:next w:val="1"/>
    <w:autoRedefine/>
    <w:qFormat/>
    <w:uiPriority w:val="0"/>
    <w:pPr>
      <w:ind w:left="1680"/>
      <w:jc w:val="left"/>
    </w:pPr>
    <w:rPr>
      <w:sz w:val="18"/>
    </w:rPr>
  </w:style>
  <w:style w:type="paragraph" w:styleId="55">
    <w:name w:val="Body Text 2"/>
    <w:basedOn w:val="1"/>
    <w:link w:val="175"/>
    <w:autoRedefine/>
    <w:qFormat/>
    <w:uiPriority w:val="0"/>
    <w:pPr>
      <w:widowControl/>
      <w:jc w:val="center"/>
    </w:pPr>
    <w:rPr>
      <w:rFonts w:ascii="楷体_GB2312" w:eastAsia="楷体_GB2312"/>
      <w:sz w:val="20"/>
    </w:rPr>
  </w:style>
  <w:style w:type="paragraph" w:styleId="56">
    <w:name w:val="HTML Preformatted"/>
    <w:basedOn w:val="1"/>
    <w:link w:val="16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7">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8">
    <w:name w:val="index 2"/>
    <w:basedOn w:val="1"/>
    <w:next w:val="1"/>
    <w:autoRedefine/>
    <w:qFormat/>
    <w:uiPriority w:val="0"/>
    <w:pPr>
      <w:ind w:left="420"/>
    </w:pPr>
  </w:style>
  <w:style w:type="paragraph" w:styleId="59">
    <w:name w:val="Title"/>
    <w:basedOn w:val="1"/>
    <w:link w:val="172"/>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60">
    <w:name w:val="annotation subject"/>
    <w:basedOn w:val="23"/>
    <w:next w:val="23"/>
    <w:link w:val="146"/>
    <w:autoRedefine/>
    <w:qFormat/>
    <w:uiPriority w:val="0"/>
    <w:rPr>
      <w:b/>
      <w:bCs/>
    </w:rPr>
  </w:style>
  <w:style w:type="paragraph" w:styleId="61">
    <w:name w:val="Body Text First Indent"/>
    <w:basedOn w:val="27"/>
    <w:link w:val="107"/>
    <w:autoRedefine/>
    <w:qFormat/>
    <w:uiPriority w:val="0"/>
    <w:pPr>
      <w:spacing w:after="120"/>
      <w:ind w:firstLine="420" w:firstLineChars="100"/>
    </w:pPr>
    <w:rPr>
      <w:rFonts w:ascii="Times New Roman" w:hAnsi="Times New Roman" w:eastAsia="宋体"/>
      <w:sz w:val="24"/>
      <w:szCs w:val="24"/>
    </w:rPr>
  </w:style>
  <w:style w:type="table" w:styleId="63">
    <w:name w:val="Table Grid"/>
    <w:basedOn w:val="6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autoRedefine/>
    <w:qFormat/>
    <w:uiPriority w:val="0"/>
    <w:rPr>
      <w:b/>
    </w:rPr>
  </w:style>
  <w:style w:type="character" w:styleId="66">
    <w:name w:val="endnote reference"/>
    <w:basedOn w:val="64"/>
    <w:autoRedefine/>
    <w:qFormat/>
    <w:uiPriority w:val="0"/>
    <w:rPr>
      <w:vertAlign w:val="superscript"/>
    </w:rPr>
  </w:style>
  <w:style w:type="character" w:styleId="67">
    <w:name w:val="page number"/>
    <w:basedOn w:val="64"/>
    <w:autoRedefine/>
    <w:qFormat/>
    <w:uiPriority w:val="0"/>
    <w:rPr>
      <w:rFonts w:cs="Times New Roman"/>
    </w:rPr>
  </w:style>
  <w:style w:type="character" w:styleId="68">
    <w:name w:val="FollowedHyperlink"/>
    <w:basedOn w:val="64"/>
    <w:autoRedefine/>
    <w:qFormat/>
    <w:uiPriority w:val="0"/>
    <w:rPr>
      <w:color w:val="800080"/>
      <w:u w:val="single"/>
    </w:rPr>
  </w:style>
  <w:style w:type="character" w:styleId="69">
    <w:name w:val="Emphasis"/>
    <w:basedOn w:val="64"/>
    <w:autoRedefine/>
    <w:qFormat/>
    <w:uiPriority w:val="0"/>
    <w:rPr>
      <w:b/>
      <w:i/>
      <w:spacing w:val="10"/>
      <w:shd w:val="clear" w:color="auto" w:fill="auto"/>
    </w:rPr>
  </w:style>
  <w:style w:type="character" w:styleId="70">
    <w:name w:val="line number"/>
    <w:basedOn w:val="64"/>
    <w:autoRedefine/>
    <w:qFormat/>
    <w:uiPriority w:val="0"/>
    <w:rPr>
      <w:rFonts w:cs="Times New Roman"/>
    </w:rPr>
  </w:style>
  <w:style w:type="character" w:styleId="71">
    <w:name w:val="HTML Typewriter"/>
    <w:basedOn w:val="64"/>
    <w:autoRedefine/>
    <w:qFormat/>
    <w:uiPriority w:val="0"/>
    <w:rPr>
      <w:rFonts w:ascii="宋体" w:hAnsi="宋体" w:eastAsia="宋体"/>
      <w:sz w:val="24"/>
    </w:rPr>
  </w:style>
  <w:style w:type="character" w:styleId="72">
    <w:name w:val="Hyperlink"/>
    <w:basedOn w:val="64"/>
    <w:autoRedefine/>
    <w:qFormat/>
    <w:uiPriority w:val="99"/>
    <w:rPr>
      <w:color w:val="0000FF"/>
      <w:u w:val="single"/>
    </w:rPr>
  </w:style>
  <w:style w:type="character" w:styleId="73">
    <w:name w:val="annotation reference"/>
    <w:basedOn w:val="64"/>
    <w:autoRedefine/>
    <w:qFormat/>
    <w:uiPriority w:val="99"/>
    <w:rPr>
      <w:sz w:val="21"/>
    </w:rPr>
  </w:style>
  <w:style w:type="character" w:styleId="74">
    <w:name w:val="footnote reference"/>
    <w:basedOn w:val="64"/>
    <w:autoRedefine/>
    <w:qFormat/>
    <w:uiPriority w:val="0"/>
    <w:rPr>
      <w:vertAlign w:val="superscript"/>
    </w:rPr>
  </w:style>
  <w:style w:type="character" w:styleId="75">
    <w:name w:val="HTML Sample"/>
    <w:basedOn w:val="64"/>
    <w:autoRedefine/>
    <w:qFormat/>
    <w:uiPriority w:val="0"/>
    <w:rPr>
      <w:rFonts w:ascii="Courier New" w:hAnsi="宋体" w:eastAsia="宋体"/>
    </w:rPr>
  </w:style>
  <w:style w:type="paragraph" w:customStyle="1" w:styleId="76">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77">
    <w:name w:val="页脚 Char1"/>
    <w:basedOn w:val="64"/>
    <w:autoRedefine/>
    <w:qFormat/>
    <w:uiPriority w:val="0"/>
    <w:rPr>
      <w:rFonts w:cs="Times New Roman"/>
      <w:kern w:val="2"/>
      <w:sz w:val="18"/>
      <w:szCs w:val="18"/>
    </w:rPr>
  </w:style>
  <w:style w:type="character" w:customStyle="1" w:styleId="78">
    <w:name w:val="正文文本 字符"/>
    <w:basedOn w:val="64"/>
    <w:link w:val="27"/>
    <w:autoRedefine/>
    <w:qFormat/>
    <w:uiPriority w:val="0"/>
    <w:rPr>
      <w:rFonts w:ascii="楷体_GB2312" w:hAnsi="Arial" w:eastAsia="楷体_GB2312" w:cs="Times New Roman"/>
      <w:sz w:val="20"/>
      <w:szCs w:val="20"/>
    </w:rPr>
  </w:style>
  <w:style w:type="character" w:customStyle="1" w:styleId="79">
    <w:name w:val="Body Text Indent 2 Char"/>
    <w:autoRedefine/>
    <w:qFormat/>
    <w:uiPriority w:val="0"/>
    <w:rPr>
      <w:rFonts w:ascii="Arial" w:hAnsi="Arial" w:eastAsia="仿宋_GB2312"/>
      <w:sz w:val="32"/>
    </w:rPr>
  </w:style>
  <w:style w:type="character" w:customStyle="1" w:styleId="80">
    <w:name w:val="标题 5 字符"/>
    <w:basedOn w:val="64"/>
    <w:link w:val="11"/>
    <w:autoRedefine/>
    <w:qFormat/>
    <w:uiPriority w:val="0"/>
    <w:rPr>
      <w:rFonts w:ascii="黑体" w:hAnsi="Times New Roman" w:eastAsia="黑体" w:cs="Times New Roman"/>
      <w:b/>
      <w:color w:val="000000"/>
      <w:kern w:val="0"/>
      <w:sz w:val="20"/>
      <w:szCs w:val="20"/>
    </w:rPr>
  </w:style>
  <w:style w:type="character" w:customStyle="1" w:styleId="81">
    <w:name w:val="Body Text Indent 3 Char1"/>
    <w:basedOn w:val="64"/>
    <w:autoRedefine/>
    <w:qFormat/>
    <w:uiPriority w:val="0"/>
    <w:rPr>
      <w:rFonts w:ascii="Times New Roman" w:hAnsi="Times New Roman"/>
      <w:kern w:val="2"/>
      <w:sz w:val="16"/>
      <w:szCs w:val="16"/>
    </w:rPr>
  </w:style>
  <w:style w:type="character" w:customStyle="1" w:styleId="82">
    <w:name w:val="副标题 字符"/>
    <w:basedOn w:val="64"/>
    <w:link w:val="46"/>
    <w:autoRedefine/>
    <w:qFormat/>
    <w:uiPriority w:val="0"/>
    <w:rPr>
      <w:rFonts w:ascii="Cambria" w:hAnsi="Cambria" w:eastAsia="宋体" w:cs="Times New Roman"/>
      <w:i/>
      <w:iCs/>
      <w:spacing w:val="13"/>
      <w:kern w:val="0"/>
      <w:sz w:val="24"/>
      <w:szCs w:val="24"/>
      <w:lang w:eastAsia="en-US"/>
    </w:rPr>
  </w:style>
  <w:style w:type="character" w:customStyle="1" w:styleId="83">
    <w:name w:val="listbenefit"/>
    <w:autoRedefine/>
    <w:qFormat/>
    <w:uiPriority w:val="0"/>
  </w:style>
  <w:style w:type="character" w:customStyle="1" w:styleId="84">
    <w:name w:val="Char Char27"/>
    <w:autoRedefine/>
    <w:qFormat/>
    <w:uiPriority w:val="0"/>
    <w:rPr>
      <w:b/>
      <w:kern w:val="44"/>
      <w:sz w:val="44"/>
    </w:rPr>
  </w:style>
  <w:style w:type="character" w:customStyle="1" w:styleId="85">
    <w:name w:val="param-value"/>
    <w:basedOn w:val="64"/>
    <w:autoRedefine/>
    <w:qFormat/>
    <w:uiPriority w:val="0"/>
    <w:rPr>
      <w:rFonts w:cs="Times New Roman"/>
    </w:rPr>
  </w:style>
  <w:style w:type="character" w:customStyle="1" w:styleId="86">
    <w:name w:val="纯文本 Char Char Char1"/>
    <w:autoRedefine/>
    <w:qFormat/>
    <w:uiPriority w:val="0"/>
    <w:rPr>
      <w:rFonts w:ascii="宋体" w:hAnsi="Courier New" w:eastAsia="宋体"/>
      <w:kern w:val="2"/>
      <w:sz w:val="21"/>
      <w:lang w:val="en-US" w:eastAsia="zh-CN"/>
    </w:rPr>
  </w:style>
  <w:style w:type="character" w:customStyle="1" w:styleId="87">
    <w:name w:val="apple-converted-space"/>
    <w:basedOn w:val="64"/>
    <w:autoRedefine/>
    <w:qFormat/>
    <w:uiPriority w:val="0"/>
    <w:rPr>
      <w:rFonts w:cs="Times New Roman"/>
    </w:rPr>
  </w:style>
  <w:style w:type="character" w:customStyle="1" w:styleId="88">
    <w:name w:val="Char Char29"/>
    <w:autoRedefine/>
    <w:qFormat/>
    <w:uiPriority w:val="0"/>
    <w:rPr>
      <w:rFonts w:ascii="Times New Roman" w:hAnsi="Times New Roman" w:eastAsia="宋体"/>
      <w:b/>
      <w:kern w:val="44"/>
      <w:sz w:val="44"/>
    </w:rPr>
  </w:style>
  <w:style w:type="character" w:customStyle="1" w:styleId="89">
    <w:name w:val="标题 3 Char"/>
    <w:basedOn w:val="64"/>
    <w:autoRedefine/>
    <w:qFormat/>
    <w:uiPriority w:val="0"/>
    <w:rPr>
      <w:rFonts w:ascii="Times New Roman" w:hAnsi="Times New Roman" w:eastAsia="宋体" w:cs="Times New Roman"/>
      <w:b/>
      <w:bCs/>
      <w:sz w:val="32"/>
      <w:szCs w:val="32"/>
    </w:rPr>
  </w:style>
  <w:style w:type="character" w:customStyle="1" w:styleId="90">
    <w:name w:val="标题 4 字符"/>
    <w:basedOn w:val="64"/>
    <w:link w:val="10"/>
    <w:autoRedefine/>
    <w:qFormat/>
    <w:uiPriority w:val="0"/>
    <w:rPr>
      <w:rFonts w:ascii="Arial" w:hAnsi="Arial" w:eastAsia="黑体" w:cs="Times New Roman"/>
      <w:b/>
      <w:sz w:val="20"/>
      <w:szCs w:val="20"/>
    </w:rPr>
  </w:style>
  <w:style w:type="character" w:customStyle="1" w:styleId="91">
    <w:name w:val="正文文本 3 字符"/>
    <w:basedOn w:val="64"/>
    <w:link w:val="26"/>
    <w:autoRedefine/>
    <w:qFormat/>
    <w:uiPriority w:val="0"/>
    <w:rPr>
      <w:rFonts w:ascii="仿宋_GB2312" w:hAnsi="Arial" w:eastAsia="仿宋_GB2312" w:cs="Times New Roman"/>
      <w:sz w:val="20"/>
      <w:szCs w:val="20"/>
    </w:rPr>
  </w:style>
  <w:style w:type="character" w:customStyle="1" w:styleId="92">
    <w:name w:val="正文文本缩进 Char"/>
    <w:basedOn w:val="64"/>
    <w:autoRedefine/>
    <w:qFormat/>
    <w:uiPriority w:val="0"/>
    <w:rPr>
      <w:rFonts w:ascii="Times New Roman" w:hAnsi="Times New Roman" w:eastAsia="宋体" w:cs="Times New Roman"/>
      <w:sz w:val="20"/>
      <w:szCs w:val="20"/>
    </w:rPr>
  </w:style>
  <w:style w:type="character" w:customStyle="1" w:styleId="93">
    <w:name w:val="Plain Text Char"/>
    <w:autoRedefine/>
    <w:qFormat/>
    <w:uiPriority w:val="0"/>
    <w:rPr>
      <w:rFonts w:ascii="宋体" w:hAnsi="Courier New"/>
    </w:rPr>
  </w:style>
  <w:style w:type="character" w:customStyle="1" w:styleId="94">
    <w:name w:val="HTML 预设格式 Char"/>
    <w:basedOn w:val="64"/>
    <w:autoRedefine/>
    <w:qFormat/>
    <w:uiPriority w:val="0"/>
    <w:rPr>
      <w:rFonts w:ascii="Courier New" w:hAnsi="Courier New" w:eastAsia="宋体" w:cs="Courier New"/>
      <w:sz w:val="20"/>
      <w:szCs w:val="20"/>
    </w:rPr>
  </w:style>
  <w:style w:type="character" w:customStyle="1" w:styleId="95">
    <w:name w:val="批注文字 Char Char"/>
    <w:autoRedefine/>
    <w:qFormat/>
    <w:uiPriority w:val="0"/>
    <w:rPr>
      <w:rFonts w:eastAsia="宋体"/>
      <w:kern w:val="2"/>
      <w:sz w:val="21"/>
      <w:lang w:val="en-US" w:eastAsia="zh-CN"/>
    </w:rPr>
  </w:style>
  <w:style w:type="character" w:customStyle="1" w:styleId="96">
    <w:name w:val="Body Text Indent Char"/>
    <w:autoRedefine/>
    <w:qFormat/>
    <w:uiPriority w:val="0"/>
    <w:rPr>
      <w:rFonts w:ascii="楷体_GB2312" w:eastAsia="楷体_GB2312"/>
      <w:sz w:val="32"/>
    </w:rPr>
  </w:style>
  <w:style w:type="character" w:customStyle="1" w:styleId="97">
    <w:name w:val="已访问的超链接1"/>
    <w:autoRedefine/>
    <w:qFormat/>
    <w:uiPriority w:val="0"/>
    <w:rPr>
      <w:color w:val="auto"/>
      <w:u w:val="none"/>
    </w:rPr>
  </w:style>
  <w:style w:type="character" w:customStyle="1" w:styleId="98">
    <w:name w:val="纯文本 Char Char Char"/>
    <w:autoRedefine/>
    <w:qFormat/>
    <w:uiPriority w:val="0"/>
    <w:rPr>
      <w:rFonts w:ascii="宋体" w:hAnsi="Courier New" w:eastAsia="宋体"/>
      <w:kern w:val="2"/>
      <w:sz w:val="21"/>
      <w:lang w:val="en-US" w:eastAsia="zh-CN"/>
    </w:rPr>
  </w:style>
  <w:style w:type="character" w:customStyle="1" w:styleId="99">
    <w:name w:val="普通文字1 Char"/>
    <w:autoRedefine/>
    <w:qFormat/>
    <w:uiPriority w:val="0"/>
    <w:rPr>
      <w:rFonts w:ascii="宋体" w:eastAsia="宋体"/>
      <w:kern w:val="2"/>
      <w:sz w:val="21"/>
      <w:lang w:val="en-US" w:eastAsia="zh-CN"/>
    </w:rPr>
  </w:style>
  <w:style w:type="character" w:customStyle="1" w:styleId="100">
    <w:name w:val="Comment Subject Char"/>
    <w:autoRedefine/>
    <w:qFormat/>
    <w:uiPriority w:val="0"/>
    <w:rPr>
      <w:b/>
    </w:rPr>
  </w:style>
  <w:style w:type="character" w:customStyle="1" w:styleId="101">
    <w:name w:val="Char Char28"/>
    <w:autoRedefine/>
    <w:qFormat/>
    <w:uiPriority w:val="0"/>
    <w:rPr>
      <w:rFonts w:ascii="Arial" w:hAnsi="Arial" w:eastAsia="黑体"/>
      <w:b/>
      <w:sz w:val="32"/>
    </w:rPr>
  </w:style>
  <w:style w:type="character" w:customStyle="1" w:styleId="102">
    <w:name w:val="Char Char23"/>
    <w:autoRedefine/>
    <w:qFormat/>
    <w:uiPriority w:val="0"/>
    <w:rPr>
      <w:rFonts w:ascii="Arial" w:hAnsi="Arial" w:eastAsia="黑体"/>
      <w:b/>
      <w:kern w:val="2"/>
      <w:sz w:val="24"/>
    </w:rPr>
  </w:style>
  <w:style w:type="character" w:customStyle="1" w:styleId="103">
    <w:name w:val="Char Char21"/>
    <w:autoRedefine/>
    <w:qFormat/>
    <w:uiPriority w:val="0"/>
    <w:rPr>
      <w:rFonts w:ascii="Arial" w:hAnsi="Arial" w:eastAsia="黑体"/>
      <w:kern w:val="2"/>
      <w:sz w:val="24"/>
    </w:rPr>
  </w:style>
  <w:style w:type="character" w:customStyle="1" w:styleId="104">
    <w:name w:val="Char Char2"/>
    <w:autoRedefine/>
    <w:qFormat/>
    <w:uiPriority w:val="0"/>
    <w:rPr>
      <w:rFonts w:ascii="宋体" w:hAnsi="Courier New" w:eastAsia="宋体"/>
      <w:kern w:val="2"/>
      <w:sz w:val="21"/>
      <w:lang w:val="en-US" w:eastAsia="zh-CN"/>
    </w:rPr>
  </w:style>
  <w:style w:type="character" w:customStyle="1" w:styleId="105">
    <w:name w:val="t1"/>
    <w:autoRedefine/>
    <w:qFormat/>
    <w:uiPriority w:val="0"/>
  </w:style>
  <w:style w:type="character" w:customStyle="1" w:styleId="106">
    <w:name w:val="华宇段落1 Char Char Char"/>
    <w:autoRedefine/>
    <w:qFormat/>
    <w:uiPriority w:val="0"/>
    <w:rPr>
      <w:rFonts w:eastAsia="宋体"/>
      <w:kern w:val="2"/>
      <w:sz w:val="24"/>
      <w:lang w:val="en-US" w:eastAsia="zh-CN"/>
    </w:rPr>
  </w:style>
  <w:style w:type="character" w:customStyle="1" w:styleId="107">
    <w:name w:val="正文文本首行缩进 字符"/>
    <w:basedOn w:val="78"/>
    <w:link w:val="61"/>
    <w:autoRedefine/>
    <w:qFormat/>
    <w:uiPriority w:val="0"/>
    <w:rPr>
      <w:rFonts w:ascii="Times New Roman" w:hAnsi="Times New Roman" w:eastAsia="宋体" w:cs="Times New Roman"/>
      <w:sz w:val="24"/>
      <w:szCs w:val="24"/>
    </w:rPr>
  </w:style>
  <w:style w:type="character" w:customStyle="1" w:styleId="108">
    <w:name w:val="纯文本 Char1"/>
    <w:autoRedefine/>
    <w:qFormat/>
    <w:uiPriority w:val="0"/>
    <w:rPr>
      <w:rFonts w:ascii="宋体" w:hAnsi="Courier New"/>
      <w:kern w:val="2"/>
      <w:sz w:val="21"/>
    </w:rPr>
  </w:style>
  <w:style w:type="character" w:customStyle="1" w:styleId="109">
    <w:name w:val="textcontents"/>
    <w:basedOn w:val="64"/>
    <w:autoRedefine/>
    <w:qFormat/>
    <w:uiPriority w:val="0"/>
    <w:rPr>
      <w:rFonts w:cs="Times New Roman"/>
    </w:rPr>
  </w:style>
  <w:style w:type="character" w:customStyle="1" w:styleId="110">
    <w:name w:val="Intense Quote Char2"/>
    <w:basedOn w:val="64"/>
    <w:autoRedefine/>
    <w:qFormat/>
    <w:uiPriority w:val="0"/>
    <w:rPr>
      <w:rFonts w:ascii="Times New Roman" w:hAnsi="Times New Roman" w:eastAsia="宋体" w:cs="Times New Roman"/>
      <w:b/>
      <w:bCs/>
      <w:i/>
      <w:iCs/>
      <w:color w:val="4F81BD"/>
      <w:sz w:val="20"/>
      <w:szCs w:val="20"/>
    </w:rPr>
  </w:style>
  <w:style w:type="character" w:customStyle="1" w:styleId="111">
    <w:name w:val="纯文本 Char"/>
    <w:basedOn w:val="64"/>
    <w:autoRedefine/>
    <w:qFormat/>
    <w:uiPriority w:val="0"/>
    <w:rPr>
      <w:rFonts w:ascii="宋体" w:hAnsi="Courier New" w:eastAsia="宋体" w:cs="Courier New"/>
      <w:sz w:val="21"/>
      <w:szCs w:val="21"/>
    </w:rPr>
  </w:style>
  <w:style w:type="character" w:customStyle="1" w:styleId="112">
    <w:name w:val="我的正文 Char Char"/>
    <w:link w:val="113"/>
    <w:autoRedefine/>
    <w:qFormat/>
    <w:uiPriority w:val="0"/>
    <w:rPr>
      <w:rFonts w:ascii="宋体" w:eastAsia="宋体"/>
      <w:sz w:val="21"/>
    </w:rPr>
  </w:style>
  <w:style w:type="paragraph" w:customStyle="1" w:styleId="113">
    <w:name w:val="我的正文"/>
    <w:basedOn w:val="1"/>
    <w:link w:val="112"/>
    <w:autoRedefine/>
    <w:qFormat/>
    <w:uiPriority w:val="0"/>
    <w:pPr>
      <w:widowControl/>
      <w:spacing w:line="360" w:lineRule="auto"/>
      <w:ind w:firstLine="420"/>
      <w:jc w:val="left"/>
    </w:pPr>
    <w:rPr>
      <w:rFonts w:ascii="宋体" w:hAnsi="Calibri"/>
      <w:kern w:val="0"/>
    </w:rPr>
  </w:style>
  <w:style w:type="character" w:customStyle="1" w:styleId="114">
    <w:name w:val="Title Char"/>
    <w:autoRedefine/>
    <w:qFormat/>
    <w:uiPriority w:val="0"/>
    <w:rPr>
      <w:rFonts w:eastAsia="黑体"/>
      <w:b/>
      <w:sz w:val="28"/>
      <w:lang w:val="en-GB"/>
    </w:rPr>
  </w:style>
  <w:style w:type="character" w:customStyle="1" w:styleId="115">
    <w:name w:val="正文文本缩进 3 字符"/>
    <w:basedOn w:val="64"/>
    <w:link w:val="49"/>
    <w:autoRedefine/>
    <w:qFormat/>
    <w:uiPriority w:val="0"/>
    <w:rPr>
      <w:rFonts w:ascii="Times New Roman" w:hAnsi="Times New Roman" w:eastAsia="宋体" w:cs="Times New Roman"/>
      <w:sz w:val="16"/>
      <w:szCs w:val="16"/>
    </w:rPr>
  </w:style>
  <w:style w:type="character" w:customStyle="1" w:styleId="116">
    <w:name w:val="Title1 Char"/>
    <w:autoRedefine/>
    <w:qFormat/>
    <w:uiPriority w:val="0"/>
    <w:rPr>
      <w:rFonts w:eastAsia="宋体"/>
      <w:b/>
      <w:kern w:val="44"/>
      <w:sz w:val="44"/>
      <w:lang w:val="en-US" w:eastAsia="zh-CN"/>
    </w:rPr>
  </w:style>
  <w:style w:type="character" w:customStyle="1" w:styleId="117">
    <w:name w:val="content"/>
    <w:basedOn w:val="64"/>
    <w:autoRedefine/>
    <w:qFormat/>
    <w:uiPriority w:val="0"/>
    <w:rPr>
      <w:rFonts w:cs="Times New Roman"/>
    </w:rPr>
  </w:style>
  <w:style w:type="character" w:customStyle="1" w:styleId="118">
    <w:name w:val="Char Char17"/>
    <w:autoRedefine/>
    <w:qFormat/>
    <w:uiPriority w:val="0"/>
    <w:rPr>
      <w:rFonts w:ascii="宋体" w:hAnsi="Courier New"/>
      <w:kern w:val="2"/>
      <w:sz w:val="21"/>
    </w:rPr>
  </w:style>
  <w:style w:type="character" w:customStyle="1" w:styleId="119">
    <w:name w:val="标准小四 Char Char"/>
    <w:autoRedefine/>
    <w:qFormat/>
    <w:uiPriority w:val="0"/>
    <w:rPr>
      <w:rFonts w:ascii="Arial" w:hAnsi="Arial" w:eastAsia="宋体"/>
      <w:kern w:val="2"/>
      <w:sz w:val="21"/>
      <w:lang w:val="en-US" w:eastAsia="zh-CN"/>
    </w:rPr>
  </w:style>
  <w:style w:type="character" w:customStyle="1" w:styleId="120">
    <w:name w:val="样式 宋体 小四"/>
    <w:autoRedefine/>
    <w:qFormat/>
    <w:uiPriority w:val="0"/>
    <w:rPr>
      <w:rFonts w:ascii="宋体" w:eastAsia="宋体"/>
      <w:sz w:val="24"/>
    </w:rPr>
  </w:style>
  <w:style w:type="character" w:customStyle="1" w:styleId="121">
    <w:name w:val="ih151"/>
    <w:autoRedefine/>
    <w:qFormat/>
    <w:uiPriority w:val="0"/>
    <w:rPr>
      <w:color w:val="666666"/>
      <w:sz w:val="18"/>
      <w:u w:val="none"/>
    </w:rPr>
  </w:style>
  <w:style w:type="character" w:customStyle="1" w:styleId="122">
    <w:name w:val="style13"/>
    <w:autoRedefine/>
    <w:qFormat/>
    <w:uiPriority w:val="0"/>
    <w:rPr>
      <w:sz w:val="18"/>
    </w:rPr>
  </w:style>
  <w:style w:type="character" w:customStyle="1" w:styleId="123">
    <w:name w:val="纯文本 字符"/>
    <w:basedOn w:val="64"/>
    <w:link w:val="32"/>
    <w:autoRedefine/>
    <w:qFormat/>
    <w:uiPriority w:val="99"/>
    <w:rPr>
      <w:rFonts w:ascii="宋体" w:hAnsi="Courier New" w:cs="Courier New"/>
      <w:kern w:val="2"/>
      <w:sz w:val="21"/>
      <w:szCs w:val="21"/>
    </w:rPr>
  </w:style>
  <w:style w:type="character" w:customStyle="1" w:styleId="124">
    <w:name w:val="标题 6 字符"/>
    <w:basedOn w:val="64"/>
    <w:link w:val="12"/>
    <w:autoRedefine/>
    <w:qFormat/>
    <w:uiPriority w:val="0"/>
    <w:rPr>
      <w:rFonts w:ascii="Arial" w:hAnsi="Arial" w:eastAsia="黑体" w:cs="Times New Roman"/>
      <w:b/>
      <w:bCs/>
      <w:sz w:val="24"/>
      <w:szCs w:val="24"/>
    </w:rPr>
  </w:style>
  <w:style w:type="character" w:customStyle="1" w:styleId="125">
    <w:name w:val="style131"/>
    <w:autoRedefine/>
    <w:qFormat/>
    <w:uiPriority w:val="0"/>
    <w:rPr>
      <w:sz w:val="18"/>
    </w:rPr>
  </w:style>
  <w:style w:type="character" w:customStyle="1" w:styleId="126">
    <w:name w:val="Char Char25"/>
    <w:autoRedefine/>
    <w:qFormat/>
    <w:uiPriority w:val="0"/>
    <w:rPr>
      <w:rFonts w:ascii="Arial" w:hAnsi="Arial" w:eastAsia="黑体"/>
      <w:b/>
      <w:kern w:val="2"/>
      <w:sz w:val="28"/>
    </w:rPr>
  </w:style>
  <w:style w:type="character" w:customStyle="1" w:styleId="127">
    <w:name w:val="不明显强调1"/>
    <w:basedOn w:val="64"/>
    <w:autoRedefine/>
    <w:qFormat/>
    <w:uiPriority w:val="0"/>
    <w:rPr>
      <w:i/>
    </w:rPr>
  </w:style>
  <w:style w:type="character" w:customStyle="1" w:styleId="128">
    <w:name w:val="标准文本 Char Char"/>
    <w:autoRedefine/>
    <w:qFormat/>
    <w:uiPriority w:val="0"/>
    <w:rPr>
      <w:rFonts w:eastAsia="宋体"/>
      <w:kern w:val="2"/>
      <w:sz w:val="24"/>
      <w:lang w:val="en-US" w:eastAsia="zh-CN"/>
    </w:rPr>
  </w:style>
  <w:style w:type="character" w:customStyle="1" w:styleId="129">
    <w:name w:val="Comment Subject Char1"/>
    <w:basedOn w:val="130"/>
    <w:autoRedefine/>
    <w:qFormat/>
    <w:uiPriority w:val="0"/>
    <w:rPr>
      <w:rFonts w:ascii="Times New Roman" w:hAnsi="Times New Roman" w:eastAsia="宋体" w:cs="Times New Roman"/>
      <w:b/>
      <w:bCs/>
      <w:kern w:val="2"/>
      <w:sz w:val="21"/>
      <w:szCs w:val="20"/>
    </w:rPr>
  </w:style>
  <w:style w:type="character" w:customStyle="1" w:styleId="130">
    <w:name w:val="批注文字 字符"/>
    <w:basedOn w:val="64"/>
    <w:link w:val="23"/>
    <w:autoRedefine/>
    <w:qFormat/>
    <w:uiPriority w:val="99"/>
    <w:rPr>
      <w:rFonts w:ascii="Times New Roman" w:hAnsi="Times New Roman" w:eastAsia="宋体" w:cs="Times New Roman"/>
      <w:sz w:val="20"/>
      <w:szCs w:val="20"/>
    </w:rPr>
  </w:style>
  <w:style w:type="character" w:customStyle="1" w:styleId="131">
    <w:name w:val="normalfont1"/>
    <w:autoRedefine/>
    <w:qFormat/>
    <w:uiPriority w:val="0"/>
    <w:rPr>
      <w:rFonts w:ascii="??" w:hAnsi="??"/>
      <w:sz w:val="18"/>
      <w:u w:val="none"/>
    </w:rPr>
  </w:style>
  <w:style w:type="character" w:customStyle="1" w:styleId="132">
    <w:name w:val="小四 段落 宋体 Char Char Char Char Char Char Char Char"/>
    <w:autoRedefine/>
    <w:qFormat/>
    <w:uiPriority w:val="0"/>
    <w:rPr>
      <w:rFonts w:eastAsia="宋体"/>
      <w:kern w:val="2"/>
      <w:sz w:val="24"/>
      <w:lang w:val="en-US" w:eastAsia="zh-CN"/>
    </w:rPr>
  </w:style>
  <w:style w:type="character" w:customStyle="1" w:styleId="133">
    <w:name w:val="签名 字符"/>
    <w:basedOn w:val="64"/>
    <w:link w:val="41"/>
    <w:autoRedefine/>
    <w:qFormat/>
    <w:uiPriority w:val="0"/>
    <w:rPr>
      <w:rFonts w:ascii="Times New Roman" w:hAnsi="Times New Roman" w:eastAsia="仿宋_GB2312" w:cs="Times New Roman"/>
      <w:kern w:val="0"/>
      <w:sz w:val="20"/>
      <w:szCs w:val="20"/>
    </w:rPr>
  </w:style>
  <w:style w:type="character" w:customStyle="1" w:styleId="134">
    <w:name w:val="标题 Char1"/>
    <w:autoRedefine/>
    <w:qFormat/>
    <w:uiPriority w:val="0"/>
    <w:rPr>
      <w:rFonts w:ascii="Cambria" w:eastAsia="宋体"/>
      <w:b/>
      <w:sz w:val="32"/>
    </w:rPr>
  </w:style>
  <w:style w:type="character" w:customStyle="1" w:styleId="135">
    <w:name w:val="脚注文本 字符"/>
    <w:basedOn w:val="64"/>
    <w:link w:val="47"/>
    <w:autoRedefine/>
    <w:qFormat/>
    <w:uiPriority w:val="0"/>
    <w:rPr>
      <w:rFonts w:ascii="Times New Roman" w:hAnsi="Times New Roman" w:eastAsia="宋体" w:cs="Times New Roman"/>
      <w:sz w:val="18"/>
      <w:szCs w:val="18"/>
    </w:rPr>
  </w:style>
  <w:style w:type="character" w:customStyle="1" w:styleId="136">
    <w:name w:val="页眉 字符"/>
    <w:basedOn w:val="64"/>
    <w:link w:val="40"/>
    <w:autoRedefine/>
    <w:qFormat/>
    <w:uiPriority w:val="0"/>
    <w:rPr>
      <w:rFonts w:cs="Times New Roman"/>
      <w:sz w:val="18"/>
      <w:szCs w:val="18"/>
    </w:rPr>
  </w:style>
  <w:style w:type="character" w:customStyle="1" w:styleId="137">
    <w:name w:val="Quote Char Char"/>
    <w:autoRedefine/>
    <w:qFormat/>
    <w:uiPriority w:val="0"/>
    <w:rPr>
      <w:rFonts w:ascii="Calibri" w:hAnsi="Calibri"/>
      <w:i/>
      <w:sz w:val="22"/>
      <w:lang w:eastAsia="en-US"/>
    </w:rPr>
  </w:style>
  <w:style w:type="character" w:customStyle="1" w:styleId="138">
    <w:name w:val="content_lineheight1"/>
    <w:basedOn w:val="64"/>
    <w:autoRedefine/>
    <w:qFormat/>
    <w:uiPriority w:val="0"/>
    <w:rPr>
      <w:rFonts w:cs="Times New Roman"/>
    </w:rPr>
  </w:style>
  <w:style w:type="character" w:customStyle="1" w:styleId="139">
    <w:name w:val="标题 7 字符"/>
    <w:basedOn w:val="64"/>
    <w:link w:val="13"/>
    <w:autoRedefine/>
    <w:qFormat/>
    <w:uiPriority w:val="0"/>
    <w:rPr>
      <w:rFonts w:ascii="Times New Roman" w:hAnsi="Times New Roman" w:eastAsia="宋体" w:cs="Times New Roman"/>
      <w:b/>
      <w:bCs/>
      <w:sz w:val="24"/>
      <w:szCs w:val="24"/>
    </w:rPr>
  </w:style>
  <w:style w:type="character" w:customStyle="1" w:styleId="140">
    <w:name w:val="Title Char1"/>
    <w:basedOn w:val="64"/>
    <w:autoRedefine/>
    <w:qFormat/>
    <w:uiPriority w:val="0"/>
    <w:rPr>
      <w:rFonts w:ascii="Cambria" w:hAnsi="Cambria" w:cs="Times New Roman"/>
      <w:b/>
      <w:bCs/>
      <w:kern w:val="2"/>
      <w:sz w:val="32"/>
      <w:szCs w:val="32"/>
    </w:rPr>
  </w:style>
  <w:style w:type="character" w:customStyle="1" w:styleId="141">
    <w:name w:val="正文 + 宋体 Char"/>
    <w:autoRedefine/>
    <w:qFormat/>
    <w:uiPriority w:val="0"/>
    <w:rPr>
      <w:rFonts w:eastAsia="宋体"/>
      <w:kern w:val="2"/>
      <w:sz w:val="24"/>
      <w:lang w:val="en-US" w:eastAsia="zh-CN"/>
    </w:rPr>
  </w:style>
  <w:style w:type="character" w:customStyle="1" w:styleId="142">
    <w:name w:val="日期 字符"/>
    <w:basedOn w:val="64"/>
    <w:link w:val="35"/>
    <w:autoRedefine/>
    <w:qFormat/>
    <w:uiPriority w:val="0"/>
    <w:rPr>
      <w:rFonts w:ascii="Times New Roman" w:hAnsi="Times New Roman" w:eastAsia="宋体" w:cs="Times New Roman"/>
      <w:sz w:val="20"/>
      <w:szCs w:val="20"/>
    </w:rPr>
  </w:style>
  <w:style w:type="character" w:customStyle="1" w:styleId="143">
    <w:name w:val="特点 Char1"/>
    <w:autoRedefine/>
    <w:qFormat/>
    <w:uiPriority w:val="0"/>
    <w:rPr>
      <w:rFonts w:eastAsia="宋体"/>
      <w:kern w:val="2"/>
      <w:sz w:val="21"/>
      <w:lang w:val="en-US" w:eastAsia="zh-CN"/>
    </w:rPr>
  </w:style>
  <w:style w:type="character" w:customStyle="1" w:styleId="144">
    <w:name w:val="表格抬头 Char Char"/>
    <w:link w:val="145"/>
    <w:autoRedefine/>
    <w:qFormat/>
    <w:uiPriority w:val="0"/>
    <w:rPr>
      <w:rFonts w:ascii="黑体" w:eastAsia="黑体"/>
      <w:b/>
    </w:rPr>
  </w:style>
  <w:style w:type="paragraph" w:customStyle="1" w:styleId="145">
    <w:name w:val="表格抬头"/>
    <w:basedOn w:val="1"/>
    <w:link w:val="144"/>
    <w:autoRedefine/>
    <w:qFormat/>
    <w:uiPriority w:val="0"/>
    <w:pPr>
      <w:jc w:val="center"/>
    </w:pPr>
    <w:rPr>
      <w:rFonts w:ascii="黑体" w:hAnsi="Calibri" w:eastAsia="黑体"/>
      <w:b/>
      <w:kern w:val="0"/>
      <w:sz w:val="20"/>
    </w:rPr>
  </w:style>
  <w:style w:type="character" w:customStyle="1" w:styleId="146">
    <w:name w:val="批注主题 字符"/>
    <w:basedOn w:val="130"/>
    <w:link w:val="60"/>
    <w:autoRedefine/>
    <w:qFormat/>
    <w:uiPriority w:val="0"/>
    <w:rPr>
      <w:rFonts w:ascii="Times New Roman" w:hAnsi="Times New Roman" w:eastAsia="宋体" w:cs="Times New Roman"/>
      <w:b/>
      <w:bCs/>
      <w:sz w:val="20"/>
      <w:szCs w:val="20"/>
    </w:rPr>
  </w:style>
  <w:style w:type="character" w:customStyle="1" w:styleId="147">
    <w:name w:val="HTML Preformatted Char"/>
    <w:autoRedefine/>
    <w:qFormat/>
    <w:uiPriority w:val="0"/>
    <w:rPr>
      <w:rFonts w:ascii="黑体" w:hAnsi="Courier New" w:eastAsia="黑体"/>
    </w:rPr>
  </w:style>
  <w:style w:type="character" w:customStyle="1" w:styleId="148">
    <w:name w:val="h Char Char"/>
    <w:autoRedefine/>
    <w:qFormat/>
    <w:uiPriority w:val="0"/>
    <w:rPr>
      <w:rFonts w:eastAsia="宋体"/>
      <w:kern w:val="2"/>
      <w:sz w:val="18"/>
      <w:lang w:val="en-US" w:eastAsia="zh-CN"/>
    </w:rPr>
  </w:style>
  <w:style w:type="character" w:customStyle="1" w:styleId="149">
    <w:name w:val="subtitle1"/>
    <w:autoRedefine/>
    <w:qFormat/>
    <w:uiPriority w:val="0"/>
    <w:rPr>
      <w:rFonts w:ascii="Georgia" w:hAnsi="Georgia"/>
      <w:b/>
      <w:color w:val="666666"/>
      <w:sz w:val="18"/>
    </w:rPr>
  </w:style>
  <w:style w:type="character" w:customStyle="1" w:styleId="150">
    <w:name w:val="样式 非加粗"/>
    <w:autoRedefine/>
    <w:qFormat/>
    <w:uiPriority w:val="0"/>
    <w:rPr>
      <w:rFonts w:eastAsia="宋体"/>
      <w:sz w:val="28"/>
    </w:rPr>
  </w:style>
  <w:style w:type="character" w:customStyle="1" w:styleId="151">
    <w:name w:val="小四 段落 宋体 Char Char Char Char Char"/>
    <w:link w:val="152"/>
    <w:autoRedefine/>
    <w:qFormat/>
    <w:uiPriority w:val="0"/>
    <w:rPr>
      <w:rFonts w:eastAsia="宋体"/>
      <w:kern w:val="2"/>
      <w:sz w:val="24"/>
      <w:lang w:val="en-US" w:eastAsia="zh-CN"/>
    </w:rPr>
  </w:style>
  <w:style w:type="paragraph" w:customStyle="1" w:styleId="152">
    <w:name w:val="小四 段落 宋体"/>
    <w:basedOn w:val="20"/>
    <w:link w:val="151"/>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3">
    <w:name w:val="标题 8 字符"/>
    <w:basedOn w:val="64"/>
    <w:link w:val="14"/>
    <w:autoRedefine/>
    <w:qFormat/>
    <w:uiPriority w:val="0"/>
    <w:rPr>
      <w:rFonts w:ascii="Arial" w:hAnsi="Arial" w:eastAsia="黑体" w:cs="Times New Roman"/>
      <w:sz w:val="24"/>
      <w:szCs w:val="24"/>
    </w:rPr>
  </w:style>
  <w:style w:type="character" w:customStyle="1" w:styleId="154">
    <w:name w:val="Document Map Char"/>
    <w:autoRedefine/>
    <w:qFormat/>
    <w:uiPriority w:val="0"/>
    <w:rPr>
      <w:shd w:val="clear" w:color="auto" w:fill="000080"/>
    </w:rPr>
  </w:style>
  <w:style w:type="character" w:customStyle="1" w:styleId="155">
    <w:name w:val="para_small"/>
    <w:basedOn w:val="64"/>
    <w:autoRedefine/>
    <w:qFormat/>
    <w:uiPriority w:val="0"/>
    <w:rPr>
      <w:rFonts w:cs="Times New Roman"/>
    </w:rPr>
  </w:style>
  <w:style w:type="character" w:customStyle="1" w:styleId="156">
    <w:name w:val="2nd level Char"/>
    <w:autoRedefine/>
    <w:qFormat/>
    <w:uiPriority w:val="0"/>
    <w:rPr>
      <w:rFonts w:ascii="Arial" w:hAnsi="Arial" w:eastAsia="黑体"/>
      <w:b/>
      <w:kern w:val="2"/>
      <w:sz w:val="32"/>
      <w:lang w:val="en-US" w:eastAsia="zh-CN"/>
    </w:rPr>
  </w:style>
  <w:style w:type="character" w:customStyle="1" w:styleId="157">
    <w:name w:val="小四 段落 宋体 Char Char Char Char1"/>
    <w:autoRedefine/>
    <w:qFormat/>
    <w:uiPriority w:val="0"/>
    <w:rPr>
      <w:rFonts w:eastAsia="宋体"/>
      <w:kern w:val="2"/>
      <w:sz w:val="24"/>
      <w:lang w:val="en-US" w:eastAsia="zh-CN"/>
    </w:rPr>
  </w:style>
  <w:style w:type="character" w:customStyle="1" w:styleId="158">
    <w:name w:val="Body Text Indent 2 Char1"/>
    <w:basedOn w:val="64"/>
    <w:autoRedefine/>
    <w:qFormat/>
    <w:uiPriority w:val="0"/>
    <w:rPr>
      <w:rFonts w:ascii="Times New Roman" w:hAnsi="Times New Roman"/>
      <w:kern w:val="2"/>
      <w:sz w:val="21"/>
    </w:rPr>
  </w:style>
  <w:style w:type="character" w:customStyle="1" w:styleId="159">
    <w:name w:val="标题 9 字符"/>
    <w:basedOn w:val="64"/>
    <w:link w:val="15"/>
    <w:autoRedefine/>
    <w:qFormat/>
    <w:uiPriority w:val="0"/>
    <w:rPr>
      <w:rFonts w:ascii="Arial" w:hAnsi="Arial" w:eastAsia="黑体" w:cs="Times New Roman"/>
      <w:sz w:val="21"/>
      <w:szCs w:val="21"/>
    </w:rPr>
  </w:style>
  <w:style w:type="character" w:customStyle="1" w:styleId="160">
    <w:name w:val="明显强调1"/>
    <w:basedOn w:val="64"/>
    <w:autoRedefine/>
    <w:qFormat/>
    <w:uiPriority w:val="0"/>
    <w:rPr>
      <w:b/>
    </w:rPr>
  </w:style>
  <w:style w:type="character" w:customStyle="1" w:styleId="161">
    <w:name w:val="标题 2 字符"/>
    <w:basedOn w:val="64"/>
    <w:link w:val="4"/>
    <w:autoRedefine/>
    <w:qFormat/>
    <w:uiPriority w:val="0"/>
    <w:rPr>
      <w:rFonts w:ascii="宋体" w:hAnsi="宋体" w:eastAsia="宋体" w:cs="Times New Roman"/>
      <w:b/>
      <w:sz w:val="24"/>
      <w:szCs w:val="24"/>
    </w:rPr>
  </w:style>
  <w:style w:type="character" w:customStyle="1" w:styleId="162">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63">
    <w:name w:val="Quote Char2"/>
    <w:basedOn w:val="64"/>
    <w:autoRedefine/>
    <w:qFormat/>
    <w:uiPriority w:val="0"/>
    <w:rPr>
      <w:rFonts w:ascii="Times New Roman" w:hAnsi="Times New Roman" w:eastAsia="宋体" w:cs="Times New Roman"/>
      <w:i/>
      <w:iCs/>
      <w:color w:val="000000"/>
      <w:sz w:val="20"/>
      <w:szCs w:val="20"/>
    </w:rPr>
  </w:style>
  <w:style w:type="character" w:customStyle="1" w:styleId="164">
    <w:name w:val="小四 段落 宋体 Char Char Char1"/>
    <w:autoRedefine/>
    <w:qFormat/>
    <w:uiPriority w:val="0"/>
    <w:rPr>
      <w:rFonts w:ascii="宋体" w:hAnsi="宋体" w:eastAsia="宋体"/>
      <w:kern w:val="2"/>
      <w:sz w:val="24"/>
      <w:lang w:val="en-US" w:eastAsia="zh-CN"/>
    </w:rPr>
  </w:style>
  <w:style w:type="character" w:customStyle="1" w:styleId="165">
    <w:name w:val="正文文本缩进 2 字符"/>
    <w:basedOn w:val="64"/>
    <w:link w:val="36"/>
    <w:autoRedefine/>
    <w:qFormat/>
    <w:uiPriority w:val="0"/>
    <w:rPr>
      <w:rFonts w:ascii="Times New Roman" w:hAnsi="Times New Roman" w:eastAsia="宋体" w:cs="Times New Roman"/>
      <w:sz w:val="20"/>
      <w:szCs w:val="20"/>
    </w:rPr>
  </w:style>
  <w:style w:type="character" w:customStyle="1" w:styleId="166">
    <w:name w:val="Quote Char1"/>
    <w:basedOn w:val="64"/>
    <w:link w:val="167"/>
    <w:autoRedefine/>
    <w:qFormat/>
    <w:uiPriority w:val="0"/>
    <w:rPr>
      <w:rFonts w:ascii="Times New Roman" w:hAnsi="Times New Roman"/>
      <w:i/>
      <w:iCs/>
      <w:color w:val="000000"/>
      <w:kern w:val="2"/>
      <w:sz w:val="21"/>
    </w:rPr>
  </w:style>
  <w:style w:type="paragraph" w:customStyle="1" w:styleId="167">
    <w:name w:val="引用1"/>
    <w:basedOn w:val="1"/>
    <w:next w:val="1"/>
    <w:link w:val="166"/>
    <w:autoRedefine/>
    <w:qFormat/>
    <w:uiPriority w:val="0"/>
    <w:pPr>
      <w:widowControl/>
      <w:spacing w:before="200" w:line="276" w:lineRule="auto"/>
      <w:ind w:left="360" w:right="360"/>
      <w:jc w:val="left"/>
    </w:pPr>
    <w:rPr>
      <w:i/>
      <w:iCs/>
      <w:color w:val="000000"/>
      <w:sz w:val="20"/>
    </w:rPr>
  </w:style>
  <w:style w:type="character" w:customStyle="1" w:styleId="168">
    <w:name w:val="文档结构图 Char"/>
    <w:basedOn w:val="64"/>
    <w:autoRedefine/>
    <w:qFormat/>
    <w:uiPriority w:val="0"/>
    <w:rPr>
      <w:rFonts w:ascii="宋体" w:hAnsi="Times New Roman" w:eastAsia="宋体" w:cs="Times New Roman"/>
      <w:sz w:val="18"/>
      <w:szCs w:val="18"/>
    </w:rPr>
  </w:style>
  <w:style w:type="character" w:customStyle="1" w:styleId="169">
    <w:name w:val="HTML 预设格式 字符"/>
    <w:basedOn w:val="64"/>
    <w:link w:val="56"/>
    <w:autoRedefine/>
    <w:qFormat/>
    <w:uiPriority w:val="0"/>
    <w:rPr>
      <w:rFonts w:ascii="Courier New" w:hAnsi="Courier New" w:cs="Courier New"/>
      <w:kern w:val="2"/>
    </w:rPr>
  </w:style>
  <w:style w:type="character" w:customStyle="1" w:styleId="170">
    <w:name w:val="标准文本 Char Char Char"/>
    <w:autoRedefine/>
    <w:qFormat/>
    <w:uiPriority w:val="0"/>
    <w:rPr>
      <w:rFonts w:eastAsia="宋体"/>
      <w:kern w:val="2"/>
      <w:sz w:val="24"/>
      <w:lang w:val="en-US" w:eastAsia="zh-CN"/>
    </w:rPr>
  </w:style>
  <w:style w:type="character" w:customStyle="1" w:styleId="171">
    <w:name w:val="正文文本缩进 字符"/>
    <w:basedOn w:val="64"/>
    <w:link w:val="7"/>
    <w:autoRedefine/>
    <w:qFormat/>
    <w:uiPriority w:val="0"/>
    <w:rPr>
      <w:rFonts w:ascii="Times New Roman" w:hAnsi="Times New Roman"/>
      <w:kern w:val="2"/>
      <w:sz w:val="21"/>
    </w:rPr>
  </w:style>
  <w:style w:type="character" w:customStyle="1" w:styleId="172">
    <w:name w:val="标题 字符"/>
    <w:basedOn w:val="64"/>
    <w:link w:val="59"/>
    <w:autoRedefine/>
    <w:qFormat/>
    <w:uiPriority w:val="0"/>
    <w:rPr>
      <w:rFonts w:ascii="Cambria" w:hAnsi="Cambria" w:eastAsia="宋体" w:cs="Times New Roman"/>
      <w:b/>
      <w:bCs/>
      <w:sz w:val="32"/>
      <w:szCs w:val="32"/>
    </w:rPr>
  </w:style>
  <w:style w:type="character" w:customStyle="1" w:styleId="173">
    <w:name w:val="纯文本 Char Char"/>
    <w:autoRedefine/>
    <w:qFormat/>
    <w:uiPriority w:val="0"/>
    <w:rPr>
      <w:rFonts w:ascii="宋体" w:hAnsi="Courier New" w:eastAsia="宋体"/>
      <w:kern w:val="2"/>
      <w:sz w:val="21"/>
      <w:lang w:val="en-US" w:eastAsia="zh-CN"/>
    </w:rPr>
  </w:style>
  <w:style w:type="character" w:customStyle="1" w:styleId="174">
    <w:name w:val="case31"/>
    <w:autoRedefine/>
    <w:qFormat/>
    <w:uiPriority w:val="0"/>
    <w:rPr>
      <w:sz w:val="21"/>
    </w:rPr>
  </w:style>
  <w:style w:type="character" w:customStyle="1" w:styleId="175">
    <w:name w:val="正文文本 2 字符"/>
    <w:basedOn w:val="64"/>
    <w:link w:val="55"/>
    <w:autoRedefine/>
    <w:qFormat/>
    <w:uiPriority w:val="0"/>
    <w:rPr>
      <w:rFonts w:ascii="楷体_GB2312" w:hAnsi="Times New Roman" w:eastAsia="楷体_GB2312" w:cs="Times New Roman"/>
      <w:sz w:val="20"/>
      <w:szCs w:val="20"/>
    </w:rPr>
  </w:style>
  <w:style w:type="character" w:customStyle="1" w:styleId="176">
    <w:name w:val="标题 3 Char Char"/>
    <w:autoRedefine/>
    <w:qFormat/>
    <w:uiPriority w:val="0"/>
    <w:rPr>
      <w:rFonts w:eastAsia="仿宋_GB2312"/>
      <w:b/>
      <w:kern w:val="2"/>
      <w:sz w:val="32"/>
      <w:lang w:val="en-US" w:eastAsia="zh-CN"/>
    </w:rPr>
  </w:style>
  <w:style w:type="character" w:customStyle="1" w:styleId="177">
    <w:name w:val="正文缩进 Char1"/>
    <w:link w:val="178"/>
    <w:autoRedefine/>
    <w:qFormat/>
    <w:uiPriority w:val="0"/>
    <w:rPr>
      <w:rFonts w:ascii="Times New Roman" w:hAnsi="Times New Roman" w:eastAsia="宋体"/>
      <w:kern w:val="0"/>
      <w:sz w:val="20"/>
    </w:rPr>
  </w:style>
  <w:style w:type="paragraph" w:customStyle="1" w:styleId="178">
    <w:name w:val="正文缩进1"/>
    <w:basedOn w:val="1"/>
    <w:link w:val="177"/>
    <w:autoRedefine/>
    <w:qFormat/>
    <w:uiPriority w:val="0"/>
    <w:pPr>
      <w:ind w:firstLine="420"/>
    </w:pPr>
    <w:rPr>
      <w:kern w:val="0"/>
      <w:sz w:val="20"/>
    </w:rPr>
  </w:style>
  <w:style w:type="character" w:customStyle="1" w:styleId="179">
    <w:name w:val="新图表正文 Char Char"/>
    <w:link w:val="180"/>
    <w:autoRedefine/>
    <w:qFormat/>
    <w:uiPriority w:val="0"/>
    <w:rPr>
      <w:rFonts w:ascii="宋体" w:hAnsi="宋体"/>
      <w:kern w:val="2"/>
      <w:sz w:val="18"/>
      <w:szCs w:val="21"/>
      <w:lang w:val="en-US" w:eastAsia="zh-CN" w:bidi="ar-SA"/>
    </w:rPr>
  </w:style>
  <w:style w:type="paragraph" w:customStyle="1" w:styleId="180">
    <w:name w:val="新图表正文"/>
    <w:link w:val="179"/>
    <w:autoRedefine/>
    <w:qFormat/>
    <w:uiPriority w:val="0"/>
    <w:pPr>
      <w:jc w:val="both"/>
    </w:pPr>
    <w:rPr>
      <w:rFonts w:ascii="宋体" w:hAnsi="宋体" w:eastAsia="宋体" w:cs="Times New Roman"/>
      <w:kern w:val="2"/>
      <w:sz w:val="18"/>
      <w:szCs w:val="21"/>
      <w:lang w:val="en-US" w:eastAsia="zh-CN" w:bidi="ar-SA"/>
    </w:rPr>
  </w:style>
  <w:style w:type="character" w:customStyle="1" w:styleId="181">
    <w:name w:val="样式 首行缩进:  2 字符 Char Char Char"/>
    <w:autoRedefine/>
    <w:qFormat/>
    <w:uiPriority w:val="0"/>
    <w:rPr>
      <w:rFonts w:eastAsia="宋体"/>
      <w:kern w:val="2"/>
      <w:sz w:val="24"/>
      <w:lang w:val="en-US" w:eastAsia="zh-CN"/>
    </w:rPr>
  </w:style>
  <w:style w:type="character" w:customStyle="1" w:styleId="182">
    <w:name w:val="Intense Quote Char1"/>
    <w:basedOn w:val="64"/>
    <w:link w:val="183"/>
    <w:autoRedefine/>
    <w:qFormat/>
    <w:uiPriority w:val="0"/>
    <w:rPr>
      <w:rFonts w:ascii="Times New Roman" w:hAnsi="Times New Roman"/>
      <w:b/>
      <w:bCs/>
      <w:i/>
      <w:iCs/>
      <w:color w:val="4F81BD"/>
      <w:kern w:val="2"/>
      <w:sz w:val="21"/>
    </w:rPr>
  </w:style>
  <w:style w:type="paragraph" w:customStyle="1" w:styleId="183">
    <w:name w:val="明显引用1"/>
    <w:basedOn w:val="1"/>
    <w:next w:val="1"/>
    <w:link w:val="182"/>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4">
    <w:name w:val="Char Char20"/>
    <w:autoRedefine/>
    <w:qFormat/>
    <w:uiPriority w:val="0"/>
    <w:rPr>
      <w:rFonts w:ascii="Arial" w:hAnsi="Arial" w:eastAsia="黑体"/>
      <w:kern w:val="2"/>
      <w:sz w:val="21"/>
    </w:rPr>
  </w:style>
  <w:style w:type="character" w:customStyle="1" w:styleId="185">
    <w:name w:val="No Spacing Char Char"/>
    <w:link w:val="186"/>
    <w:autoRedefine/>
    <w:qFormat/>
    <w:uiPriority w:val="0"/>
    <w:rPr>
      <w:rFonts w:eastAsia="微软雅黑"/>
      <w:kern w:val="2"/>
      <w:sz w:val="24"/>
      <w:szCs w:val="22"/>
      <w:lang w:val="en-US" w:eastAsia="zh-CN" w:bidi="ar-SA"/>
    </w:rPr>
  </w:style>
  <w:style w:type="paragraph" w:customStyle="1" w:styleId="186">
    <w:name w:val="无间隔2"/>
    <w:link w:val="185"/>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7">
    <w:name w:val="小四 段落 宋体 Char Char Char Char Char Char"/>
    <w:autoRedefine/>
    <w:qFormat/>
    <w:uiPriority w:val="0"/>
    <w:rPr>
      <w:rFonts w:eastAsia="宋体"/>
      <w:kern w:val="2"/>
      <w:sz w:val="24"/>
      <w:lang w:val="en-US" w:eastAsia="zh-CN"/>
    </w:rPr>
  </w:style>
  <w:style w:type="character" w:customStyle="1" w:styleId="188">
    <w:name w:val="3zw"/>
    <w:basedOn w:val="64"/>
    <w:autoRedefine/>
    <w:qFormat/>
    <w:uiPriority w:val="0"/>
    <w:rPr>
      <w:rFonts w:cs="Times New Roman"/>
    </w:rPr>
  </w:style>
  <w:style w:type="character" w:customStyle="1" w:styleId="189">
    <w:name w:val="Intense Quote Char Char"/>
    <w:autoRedefine/>
    <w:qFormat/>
    <w:uiPriority w:val="0"/>
    <w:rPr>
      <w:rFonts w:ascii="Calibri" w:hAnsi="Calibri"/>
      <w:b/>
      <w:i/>
      <w:sz w:val="22"/>
      <w:lang w:eastAsia="en-US"/>
    </w:rPr>
  </w:style>
  <w:style w:type="character" w:customStyle="1" w:styleId="190">
    <w:name w:val="Body Text Indent 3 Char"/>
    <w:autoRedefine/>
    <w:qFormat/>
    <w:uiPriority w:val="0"/>
    <w:rPr>
      <w:rFonts w:ascii="Arial" w:hAnsi="Arial" w:eastAsia="仿宋_GB2312"/>
      <w:color w:val="FFFF00"/>
      <w:sz w:val="32"/>
    </w:rPr>
  </w:style>
  <w:style w:type="character" w:customStyle="1" w:styleId="191">
    <w:name w:val="A2"/>
    <w:autoRedefine/>
    <w:qFormat/>
    <w:uiPriority w:val="0"/>
    <w:rPr>
      <w:color w:val="000000"/>
      <w:sz w:val="18"/>
    </w:rPr>
  </w:style>
  <w:style w:type="character" w:customStyle="1" w:styleId="192">
    <w:name w:val="标题 1 字符"/>
    <w:basedOn w:val="64"/>
    <w:link w:val="3"/>
    <w:autoRedefine/>
    <w:qFormat/>
    <w:uiPriority w:val="0"/>
    <w:rPr>
      <w:rFonts w:ascii="黑体" w:hAnsi="Times New Roman" w:eastAsia="黑体" w:cs="Times New Roman"/>
      <w:b/>
      <w:kern w:val="44"/>
      <w:sz w:val="28"/>
      <w:szCs w:val="28"/>
    </w:rPr>
  </w:style>
  <w:style w:type="character" w:customStyle="1" w:styleId="193">
    <w:name w:val="明显参考1"/>
    <w:basedOn w:val="64"/>
    <w:autoRedefine/>
    <w:qFormat/>
    <w:uiPriority w:val="0"/>
    <w:rPr>
      <w:smallCaps/>
      <w:spacing w:val="5"/>
      <w:u w:val="single"/>
    </w:rPr>
  </w:style>
  <w:style w:type="character" w:customStyle="1" w:styleId="194">
    <w:name w:val="称呼 字符"/>
    <w:basedOn w:val="64"/>
    <w:link w:val="25"/>
    <w:autoRedefine/>
    <w:qFormat/>
    <w:uiPriority w:val="0"/>
    <w:rPr>
      <w:rFonts w:ascii="仿宋_GB2312" w:hAnsi="Times New Roman" w:eastAsia="仿宋_GB2312" w:cs="Times New Roman"/>
      <w:sz w:val="20"/>
      <w:szCs w:val="20"/>
    </w:rPr>
  </w:style>
  <w:style w:type="character" w:customStyle="1" w:styleId="195">
    <w:name w:val="111111 Char Char"/>
    <w:link w:val="196"/>
    <w:autoRedefine/>
    <w:qFormat/>
    <w:uiPriority w:val="0"/>
    <w:rPr>
      <w:rFonts w:ascii="宋体" w:hAnsi="宋体" w:eastAsia="黑体"/>
      <w:b/>
      <w:sz w:val="21"/>
    </w:rPr>
  </w:style>
  <w:style w:type="paragraph" w:customStyle="1" w:styleId="196">
    <w:name w:val="111111"/>
    <w:basedOn w:val="1"/>
    <w:link w:val="195"/>
    <w:autoRedefine/>
    <w:qFormat/>
    <w:uiPriority w:val="0"/>
    <w:pPr>
      <w:spacing w:before="120" w:after="120"/>
      <w:jc w:val="center"/>
    </w:pPr>
    <w:rPr>
      <w:rFonts w:ascii="宋体" w:hAnsi="宋体" w:eastAsia="黑体"/>
      <w:b/>
      <w:kern w:val="0"/>
    </w:rPr>
  </w:style>
  <w:style w:type="character" w:customStyle="1" w:styleId="197">
    <w:name w:val="小四 段落 宋体 Char1"/>
    <w:autoRedefine/>
    <w:qFormat/>
    <w:uiPriority w:val="0"/>
    <w:rPr>
      <w:rFonts w:eastAsia="宋体"/>
      <w:kern w:val="2"/>
      <w:sz w:val="24"/>
      <w:lang w:val="en-US" w:eastAsia="zh-CN"/>
    </w:rPr>
  </w:style>
  <w:style w:type="character" w:customStyle="1" w:styleId="198">
    <w:name w:val="文档结构图 字符"/>
    <w:basedOn w:val="64"/>
    <w:link w:val="22"/>
    <w:autoRedefine/>
    <w:qFormat/>
    <w:uiPriority w:val="0"/>
    <w:rPr>
      <w:rFonts w:ascii="Times New Roman" w:hAnsi="Times New Roman"/>
      <w:kern w:val="2"/>
      <w:sz w:val="16"/>
      <w:szCs w:val="0"/>
    </w:rPr>
  </w:style>
  <w:style w:type="character" w:customStyle="1" w:styleId="199">
    <w:name w:val="title_emph1"/>
    <w:autoRedefine/>
    <w:qFormat/>
    <w:uiPriority w:val="0"/>
    <w:rPr>
      <w:rFonts w:ascii="Arial"/>
      <w:b/>
      <w:sz w:val="18"/>
    </w:rPr>
  </w:style>
  <w:style w:type="character" w:customStyle="1" w:styleId="200">
    <w:name w:val="页脚 字符"/>
    <w:basedOn w:val="64"/>
    <w:link w:val="39"/>
    <w:autoRedefine/>
    <w:qFormat/>
    <w:uiPriority w:val="0"/>
    <w:rPr>
      <w:rFonts w:cs="Times New Roman"/>
      <w:sz w:val="18"/>
      <w:szCs w:val="18"/>
    </w:rPr>
  </w:style>
  <w:style w:type="character" w:customStyle="1" w:styleId="201">
    <w:name w:val="书籍标题1"/>
    <w:basedOn w:val="64"/>
    <w:autoRedefine/>
    <w:qFormat/>
    <w:uiPriority w:val="0"/>
    <w:rPr>
      <w:i/>
      <w:smallCaps/>
      <w:spacing w:val="5"/>
    </w:rPr>
  </w:style>
  <w:style w:type="character" w:customStyle="1" w:styleId="202">
    <w:name w:val="不明显参考1"/>
    <w:basedOn w:val="64"/>
    <w:autoRedefine/>
    <w:qFormat/>
    <w:uiPriority w:val="0"/>
    <w:rPr>
      <w:smallCaps/>
    </w:rPr>
  </w:style>
  <w:style w:type="character" w:customStyle="1" w:styleId="203">
    <w:name w:val="样式 首行缩进:  2 字符 Char Char"/>
    <w:link w:val="204"/>
    <w:autoRedefine/>
    <w:qFormat/>
    <w:uiPriority w:val="0"/>
    <w:rPr>
      <w:sz w:val="24"/>
    </w:rPr>
  </w:style>
  <w:style w:type="paragraph" w:customStyle="1" w:styleId="204">
    <w:name w:val="样式 首行缩进:  2 字符"/>
    <w:basedOn w:val="1"/>
    <w:link w:val="203"/>
    <w:autoRedefine/>
    <w:qFormat/>
    <w:uiPriority w:val="0"/>
    <w:pPr>
      <w:spacing w:line="360" w:lineRule="auto"/>
      <w:ind w:firstLine="480" w:firstLineChars="200"/>
    </w:pPr>
    <w:rPr>
      <w:rFonts w:ascii="Calibri" w:hAnsi="Calibri"/>
      <w:kern w:val="0"/>
      <w:sz w:val="24"/>
    </w:rPr>
  </w:style>
  <w:style w:type="character" w:customStyle="1" w:styleId="205">
    <w:name w:val="标题 3 字符"/>
    <w:basedOn w:val="64"/>
    <w:link w:val="9"/>
    <w:autoRedefine/>
    <w:qFormat/>
    <w:uiPriority w:val="0"/>
    <w:rPr>
      <w:rFonts w:ascii="宋体" w:hAnsi="宋体" w:eastAsia="宋体"/>
      <w:b/>
      <w:sz w:val="21"/>
      <w:shd w:val="clear" w:color="auto" w:fill="FFFFFF"/>
    </w:rPr>
  </w:style>
  <w:style w:type="character" w:customStyle="1" w:styleId="206">
    <w:name w:val="Char Char22"/>
    <w:autoRedefine/>
    <w:qFormat/>
    <w:uiPriority w:val="0"/>
    <w:rPr>
      <w:b/>
      <w:kern w:val="2"/>
      <w:sz w:val="24"/>
    </w:rPr>
  </w:style>
  <w:style w:type="character" w:customStyle="1" w:styleId="207">
    <w:name w:val="批注框文本 字符"/>
    <w:basedOn w:val="64"/>
    <w:link w:val="38"/>
    <w:autoRedefine/>
    <w:qFormat/>
    <w:uiPriority w:val="0"/>
    <w:rPr>
      <w:rFonts w:ascii="Times New Roman" w:hAnsi="Times New Roman" w:eastAsia="宋体" w:cs="Times New Roman"/>
      <w:sz w:val="18"/>
      <w:szCs w:val="18"/>
    </w:rPr>
  </w:style>
  <w:style w:type="character" w:customStyle="1" w:styleId="208">
    <w:name w:val="尾注文本 字符"/>
    <w:basedOn w:val="64"/>
    <w:link w:val="37"/>
    <w:autoRedefine/>
    <w:qFormat/>
    <w:uiPriority w:val="0"/>
    <w:rPr>
      <w:rFonts w:ascii="Times New Roman" w:hAnsi="Times New Roman" w:eastAsia="宋体" w:cs="Times New Roman"/>
      <w:kern w:val="0"/>
      <w:sz w:val="24"/>
      <w:szCs w:val="24"/>
    </w:rPr>
  </w:style>
  <w:style w:type="character" w:customStyle="1" w:styleId="209">
    <w:name w:val="point_normal1"/>
    <w:autoRedefine/>
    <w:qFormat/>
    <w:uiPriority w:val="0"/>
    <w:rPr>
      <w:rFonts w:ascii="Arial" w:hAnsi="Arial"/>
      <w:sz w:val="18"/>
    </w:rPr>
  </w:style>
  <w:style w:type="character" w:customStyle="1" w:styleId="210">
    <w:name w:val="Char Char26"/>
    <w:autoRedefine/>
    <w:qFormat/>
    <w:uiPriority w:val="0"/>
    <w:rPr>
      <w:b/>
      <w:kern w:val="2"/>
      <w:sz w:val="32"/>
    </w:rPr>
  </w:style>
  <w:style w:type="character" w:customStyle="1" w:styleId="211">
    <w:name w:val="Char Char24"/>
    <w:autoRedefine/>
    <w:qFormat/>
    <w:uiPriority w:val="0"/>
    <w:rPr>
      <w:b/>
      <w:kern w:val="2"/>
      <w:sz w:val="28"/>
    </w:rPr>
  </w:style>
  <w:style w:type="character" w:customStyle="1" w:styleId="212">
    <w:name w:val="concon"/>
    <w:autoRedefine/>
    <w:qFormat/>
    <w:uiPriority w:val="0"/>
  </w:style>
  <w:style w:type="paragraph" w:customStyle="1" w:styleId="213">
    <w:name w:val="标准文本"/>
    <w:basedOn w:val="1"/>
    <w:autoRedefine/>
    <w:qFormat/>
    <w:uiPriority w:val="0"/>
    <w:pPr>
      <w:spacing w:line="360" w:lineRule="auto"/>
      <w:ind w:firstLine="480" w:firstLineChars="200"/>
    </w:pPr>
    <w:rPr>
      <w:rFonts w:cs="宋体"/>
      <w:sz w:val="24"/>
      <w:szCs w:val="24"/>
    </w:rPr>
  </w:style>
  <w:style w:type="paragraph" w:customStyle="1" w:styleId="214">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15">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16">
    <w:name w:val="flType"/>
    <w:basedOn w:val="217"/>
    <w:autoRedefine/>
    <w:qFormat/>
    <w:uiPriority w:val="0"/>
    <w:pPr>
      <w:spacing w:after="284"/>
    </w:pPr>
    <w:rPr>
      <w:rFonts w:eastAsia="宋体"/>
      <w:b w:val="0"/>
    </w:rPr>
  </w:style>
  <w:style w:type="paragraph" w:customStyle="1" w:styleId="217">
    <w:name w:val="flName"/>
    <w:basedOn w:val="218"/>
    <w:autoRedefine/>
    <w:qFormat/>
    <w:uiPriority w:val="0"/>
    <w:pPr>
      <w:spacing w:before="0" w:line="113" w:lineRule="atLeast"/>
    </w:pPr>
  </w:style>
  <w:style w:type="paragraph" w:customStyle="1" w:styleId="218">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19">
    <w:name w:val="华宇段落1 Char"/>
    <w:basedOn w:val="1"/>
    <w:autoRedefine/>
    <w:qFormat/>
    <w:uiPriority w:val="0"/>
    <w:pPr>
      <w:spacing w:line="360" w:lineRule="auto"/>
      <w:ind w:firstLine="200" w:firstLineChars="200"/>
    </w:pPr>
    <w:rPr>
      <w:bCs/>
      <w:sz w:val="24"/>
      <w:szCs w:val="24"/>
    </w:rPr>
  </w:style>
  <w:style w:type="paragraph" w:customStyle="1" w:styleId="220">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1">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2">
    <w:name w:val="greytypebeni"/>
    <w:basedOn w:val="1"/>
    <w:autoRedefine/>
    <w:qFormat/>
    <w:uiPriority w:val="0"/>
    <w:pPr>
      <w:widowControl/>
      <w:jc w:val="left"/>
    </w:pPr>
    <w:rPr>
      <w:rFonts w:ascii="宋体" w:hAnsi="宋体" w:cs="宋体"/>
      <w:kern w:val="0"/>
      <w:sz w:val="24"/>
      <w:szCs w:val="24"/>
    </w:rPr>
  </w:style>
  <w:style w:type="paragraph" w:customStyle="1" w:styleId="223">
    <w:name w:val="Char Char1 Char Char Char Char1 Char Char Char Char Char Char"/>
    <w:basedOn w:val="1"/>
    <w:autoRedefine/>
    <w:qFormat/>
    <w:uiPriority w:val="0"/>
    <w:rPr>
      <w:rFonts w:ascii="Tahoma" w:hAnsi="Tahoma"/>
      <w:sz w:val="24"/>
    </w:rPr>
  </w:style>
  <w:style w:type="paragraph" w:customStyle="1" w:styleId="224">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25">
    <w:name w:val="Char Char1"/>
    <w:basedOn w:val="1"/>
    <w:autoRedefine/>
    <w:qFormat/>
    <w:uiPriority w:val="0"/>
    <w:rPr>
      <w:rFonts w:ascii="Tahoma" w:hAnsi="Tahoma" w:cs="Tahoma"/>
      <w:sz w:val="24"/>
    </w:rPr>
  </w:style>
  <w:style w:type="paragraph" w:customStyle="1" w:styleId="226">
    <w:name w:val="小四 段落 宋体 Char Char Char"/>
    <w:basedOn w:val="20"/>
    <w:autoRedefine/>
    <w:qFormat/>
    <w:uiPriority w:val="0"/>
    <w:pPr>
      <w:tabs>
        <w:tab w:val="clear" w:pos="2952"/>
      </w:tabs>
      <w:spacing w:line="360" w:lineRule="auto"/>
      <w:ind w:left="0" w:right="-33" w:firstLine="545" w:firstLineChars="227"/>
      <w:jc w:val="left"/>
    </w:pPr>
    <w:rPr>
      <w:sz w:val="24"/>
    </w:rPr>
  </w:style>
  <w:style w:type="paragraph" w:customStyle="1" w:styleId="227">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8">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29">
    <w:name w:val="中等深浅网格 1 - 强调文字颜色 21"/>
    <w:basedOn w:val="1"/>
    <w:autoRedefine/>
    <w:qFormat/>
    <w:uiPriority w:val="0"/>
    <w:pPr>
      <w:ind w:firstLine="420" w:firstLineChars="200"/>
    </w:pPr>
    <w:rPr>
      <w:rFonts w:ascii="Calibri" w:hAnsi="Calibri"/>
      <w:szCs w:val="22"/>
    </w:rPr>
  </w:style>
  <w:style w:type="paragraph" w:customStyle="1" w:styleId="230">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22"/>
    <w:autoRedefine/>
    <w:qFormat/>
    <w:uiPriority w:val="0"/>
  </w:style>
  <w:style w:type="paragraph" w:customStyle="1" w:styleId="232">
    <w:name w:val="样式 样式 首行缩进:  2 字符 + 行距: 1.5 倍行距"/>
    <w:basedOn w:val="1"/>
    <w:autoRedefine/>
    <w:qFormat/>
    <w:uiPriority w:val="0"/>
    <w:pPr>
      <w:spacing w:line="360" w:lineRule="auto"/>
      <w:ind w:firstLine="470" w:firstLineChars="196"/>
    </w:pPr>
    <w:rPr>
      <w:sz w:val="24"/>
    </w:rPr>
  </w:style>
  <w:style w:type="paragraph" w:customStyle="1" w:styleId="233">
    <w:name w:val="正文11"/>
    <w:basedOn w:val="1"/>
    <w:next w:val="1"/>
    <w:autoRedefine/>
    <w:qFormat/>
    <w:uiPriority w:val="0"/>
    <w:pPr>
      <w:spacing w:before="156" w:line="360" w:lineRule="auto"/>
      <w:ind w:firstLine="510" w:firstLineChars="200"/>
    </w:pPr>
    <w:rPr>
      <w:sz w:val="24"/>
    </w:rPr>
  </w:style>
  <w:style w:type="paragraph" w:customStyle="1" w:styleId="234">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autoRedefine/>
    <w:qFormat/>
    <w:uiPriority w:val="0"/>
    <w:rPr>
      <w:rFonts w:ascii="Tahoma" w:hAnsi="Tahoma"/>
      <w:sz w:val="24"/>
    </w:rPr>
  </w:style>
  <w:style w:type="paragraph" w:customStyle="1" w:styleId="236">
    <w:name w:val="丁华正文"/>
    <w:basedOn w:val="49"/>
    <w:autoRedefine/>
    <w:qFormat/>
    <w:uiPriority w:val="0"/>
    <w:pPr>
      <w:adjustRightInd w:val="0"/>
      <w:snapToGrid w:val="0"/>
      <w:spacing w:line="360" w:lineRule="auto"/>
      <w:ind w:left="0" w:firstLine="510"/>
    </w:pPr>
    <w:rPr>
      <w:sz w:val="24"/>
    </w:rPr>
  </w:style>
  <w:style w:type="paragraph" w:customStyle="1" w:styleId="237">
    <w:name w:val="正文 居中"/>
    <w:basedOn w:val="1"/>
    <w:autoRedefine/>
    <w:qFormat/>
    <w:uiPriority w:val="0"/>
    <w:pPr>
      <w:spacing w:line="360" w:lineRule="auto"/>
      <w:jc w:val="center"/>
    </w:pPr>
    <w:rPr>
      <w:sz w:val="24"/>
    </w:rPr>
  </w:style>
  <w:style w:type="paragraph" w:customStyle="1" w:styleId="238">
    <w:name w:val="Char Char3"/>
    <w:basedOn w:val="1"/>
    <w:autoRedefine/>
    <w:qFormat/>
    <w:uiPriority w:val="0"/>
    <w:rPr>
      <w:rFonts w:ascii="Tahoma" w:hAnsi="Tahoma" w:cs="Tahoma"/>
      <w:sz w:val="24"/>
    </w:rPr>
  </w:style>
  <w:style w:type="paragraph" w:customStyle="1" w:styleId="239">
    <w:name w:val="Char Char Char Char Char"/>
    <w:basedOn w:val="1"/>
    <w:autoRedefine/>
    <w:qFormat/>
    <w:uiPriority w:val="0"/>
    <w:rPr>
      <w:rFonts w:ascii="Tahoma" w:hAnsi="Tahoma"/>
      <w:sz w:val="24"/>
    </w:rPr>
  </w:style>
  <w:style w:type="paragraph" w:customStyle="1" w:styleId="240">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autoRedefine/>
    <w:qFormat/>
    <w:uiPriority w:val="0"/>
    <w:rPr>
      <w:rFonts w:ascii="Tahoma" w:hAnsi="Tahoma" w:cs="Tahoma"/>
      <w:sz w:val="24"/>
    </w:rPr>
  </w:style>
  <w:style w:type="paragraph" w:customStyle="1" w:styleId="242">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43">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22"/>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autoRedefine/>
    <w:qFormat/>
    <w:uiPriority w:val="0"/>
    <w:pPr>
      <w:spacing w:line="360" w:lineRule="auto"/>
      <w:ind w:firstLine="480" w:firstLineChars="200"/>
    </w:pPr>
    <w:rPr>
      <w:rFonts w:ascii="Arial" w:hAnsi="Arial"/>
      <w:sz w:val="24"/>
      <w:szCs w:val="21"/>
    </w:rPr>
  </w:style>
  <w:style w:type="paragraph" w:customStyle="1" w:styleId="24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autoRedefine/>
    <w:qFormat/>
    <w:uiPriority w:val="0"/>
    <w:rPr>
      <w:rFonts w:ascii="Tahoma" w:hAnsi="Tahoma"/>
      <w:sz w:val="24"/>
    </w:rPr>
  </w:style>
  <w:style w:type="paragraph" w:customStyle="1" w:styleId="248">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autoRedefine/>
    <w:qFormat/>
    <w:uiPriority w:val="0"/>
    <w:rPr>
      <w:sz w:val="24"/>
      <w:szCs w:val="24"/>
    </w:rPr>
  </w:style>
  <w:style w:type="paragraph" w:customStyle="1" w:styleId="252">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autoRedefine/>
    <w:qFormat/>
    <w:uiPriority w:val="0"/>
    <w:pPr>
      <w:tabs>
        <w:tab w:val="left" w:pos="693"/>
      </w:tabs>
      <w:ind w:left="482"/>
      <w:outlineLvl w:val="0"/>
    </w:pPr>
    <w:rPr>
      <w:color w:val="000000"/>
      <w:sz w:val="24"/>
      <w:szCs w:val="24"/>
    </w:rPr>
  </w:style>
  <w:style w:type="paragraph" w:customStyle="1" w:styleId="255">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57">
    <w:name w:val="正文表标题"/>
    <w:next w:val="249"/>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autoRedefine/>
    <w:qFormat/>
    <w:uiPriority w:val="0"/>
  </w:style>
  <w:style w:type="paragraph" w:customStyle="1" w:styleId="259">
    <w:name w:val="Char Char Char1"/>
    <w:basedOn w:val="22"/>
    <w:autoRedefine/>
    <w:qFormat/>
    <w:uiPriority w:val="0"/>
    <w:pPr>
      <w:spacing w:line="436" w:lineRule="exact"/>
    </w:pPr>
    <w:rPr>
      <w:szCs w:val="24"/>
    </w:rPr>
  </w:style>
  <w:style w:type="paragraph" w:customStyle="1" w:styleId="260">
    <w:name w:val="表格1"/>
    <w:basedOn w:val="1"/>
    <w:autoRedefine/>
    <w:qFormat/>
    <w:uiPriority w:val="0"/>
    <w:pPr>
      <w:adjustRightInd w:val="0"/>
      <w:textAlignment w:val="baseline"/>
    </w:pPr>
    <w:rPr>
      <w:rFonts w:ascii="宋体"/>
      <w:kern w:val="24"/>
      <w:szCs w:val="21"/>
    </w:rPr>
  </w:style>
  <w:style w:type="paragraph" w:customStyle="1" w:styleId="261">
    <w:name w:val="项目符号：一级"/>
    <w:basedOn w:val="255"/>
    <w:next w:val="255"/>
    <w:autoRedefine/>
    <w:qFormat/>
    <w:uiPriority w:val="0"/>
    <w:pPr>
      <w:ind w:right="-134" w:rightChars="-64"/>
    </w:pPr>
    <w:rPr>
      <w:bCs w:val="0"/>
    </w:rPr>
  </w:style>
  <w:style w:type="paragraph" w:customStyle="1" w:styleId="262">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autoRedefine/>
    <w:qFormat/>
    <w:uiPriority w:val="0"/>
    <w:rPr>
      <w:rFonts w:ascii="Tahoma" w:hAnsi="Tahoma" w:cs="Tahoma"/>
      <w:sz w:val="24"/>
    </w:rPr>
  </w:style>
  <w:style w:type="paragraph" w:customStyle="1" w:styleId="264">
    <w:name w:val="样式 标题 2第一章 标题 2Heading 2 HiddenHeading 2 CCBSheading 2H2h2..."/>
    <w:basedOn w:val="4"/>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autoRedefine/>
    <w:qFormat/>
    <w:uiPriority w:val="0"/>
    <w:pPr>
      <w:spacing w:after="120"/>
      <w:ind w:left="420" w:leftChars="200"/>
    </w:pPr>
    <w:rPr>
      <w:szCs w:val="24"/>
    </w:rPr>
  </w:style>
  <w:style w:type="paragraph" w:customStyle="1" w:styleId="266">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autoRedefine/>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autoRedefine/>
    <w:qFormat/>
    <w:uiPriority w:val="0"/>
    <w:pPr>
      <w:jc w:val="left"/>
    </w:pPr>
    <w:rPr>
      <w:rFonts w:ascii="Tahoma" w:hAnsi="Tahoma"/>
      <w:sz w:val="24"/>
    </w:rPr>
  </w:style>
  <w:style w:type="paragraph" w:customStyle="1" w:styleId="26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autoRedefine/>
    <w:qFormat/>
    <w:uiPriority w:val="0"/>
    <w:pPr>
      <w:spacing w:line="300" w:lineRule="atLeast"/>
    </w:pPr>
    <w:rPr>
      <w:sz w:val="18"/>
      <w:szCs w:val="24"/>
    </w:rPr>
  </w:style>
  <w:style w:type="paragraph" w:customStyle="1" w:styleId="271">
    <w:name w:val="样式3"/>
    <w:basedOn w:val="1"/>
    <w:next w:val="1"/>
    <w:autoRedefine/>
    <w:qFormat/>
    <w:uiPriority w:val="0"/>
    <w:pPr>
      <w:spacing w:line="360" w:lineRule="auto"/>
    </w:pPr>
  </w:style>
  <w:style w:type="paragraph" w:customStyle="1" w:styleId="272">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76">
    <w:name w:val="正文2"/>
    <w:basedOn w:val="1"/>
    <w:autoRedefine/>
    <w:qFormat/>
    <w:uiPriority w:val="0"/>
    <w:pPr>
      <w:spacing w:before="156" w:line="360" w:lineRule="auto"/>
      <w:ind w:firstLine="510" w:firstLineChars="200"/>
    </w:pPr>
    <w:rPr>
      <w:sz w:val="24"/>
    </w:rPr>
  </w:style>
  <w:style w:type="paragraph" w:customStyle="1" w:styleId="277">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autoRedefine/>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82">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84">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89">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291">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29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10"/>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autoRedefine/>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autoRedefine/>
    <w:qFormat/>
    <w:uiPriority w:val="0"/>
    <w:rPr>
      <w:rFonts w:ascii="宋体" w:hAnsi="宋体" w:cs="宋体"/>
      <w:kern w:val="0"/>
      <w:sz w:val="24"/>
      <w:u w:color="000000"/>
    </w:rPr>
  </w:style>
  <w:style w:type="paragraph" w:customStyle="1" w:styleId="299">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9"/>
    <w:autoRedefine/>
    <w:qFormat/>
    <w:uiPriority w:val="0"/>
    <w:pPr>
      <w:keepNext w:val="0"/>
      <w:keepLines w:val="0"/>
      <w:spacing w:line="360" w:lineRule="auto"/>
    </w:pPr>
    <w:rPr>
      <w:rFonts w:eastAsia="仿宋_GB2312"/>
      <w:b w:val="0"/>
      <w:bCs/>
      <w:sz w:val="30"/>
      <w:szCs w:val="32"/>
    </w:rPr>
  </w:style>
  <w:style w:type="paragraph" w:customStyle="1" w:styleId="302">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autoRedefine/>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autoRedefine/>
    <w:qFormat/>
    <w:uiPriority w:val="0"/>
    <w:pPr>
      <w:adjustRightInd w:val="0"/>
      <w:spacing w:line="360" w:lineRule="auto"/>
      <w:textAlignment w:val="baseline"/>
    </w:pPr>
    <w:rPr>
      <w:b/>
      <w:bCs/>
      <w:sz w:val="28"/>
      <w:szCs w:val="21"/>
    </w:rPr>
  </w:style>
  <w:style w:type="paragraph" w:customStyle="1" w:styleId="308">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7"/>
    <w:autoRedefine/>
    <w:qFormat/>
    <w:uiPriority w:val="0"/>
    <w:rPr>
      <w:rFonts w:ascii="楷体_GB2312" w:hAnsi="Arial" w:eastAsia="楷体_GB2312"/>
      <w:sz w:val="28"/>
    </w:rPr>
  </w:style>
  <w:style w:type="paragraph" w:customStyle="1" w:styleId="310">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13">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22"/>
    <w:autoRedefine/>
    <w:qFormat/>
    <w:uiPriority w:val="0"/>
    <w:rPr>
      <w:rFonts w:ascii="Tahoma" w:hAnsi="Tahoma"/>
      <w:sz w:val="24"/>
      <w:szCs w:val="24"/>
    </w:rPr>
  </w:style>
  <w:style w:type="paragraph" w:customStyle="1" w:styleId="317">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autoRedefine/>
    <w:qFormat/>
    <w:uiPriority w:val="0"/>
    <w:pPr>
      <w:spacing w:line="460" w:lineRule="exact"/>
      <w:ind w:firstLine="480"/>
    </w:pPr>
    <w:rPr>
      <w:sz w:val="24"/>
    </w:rPr>
  </w:style>
  <w:style w:type="paragraph" w:customStyle="1" w:styleId="319">
    <w:name w:val="列出段落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7"/>
    <w:autoRedefine/>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autoRedefine/>
    <w:qFormat/>
    <w:uiPriority w:val="0"/>
    <w:pPr>
      <w:widowControl/>
      <w:spacing w:before="100" w:beforeAutospacing="1" w:after="100" w:afterAutospacing="1"/>
      <w:jc w:val="left"/>
    </w:pPr>
    <w:rPr>
      <w:b/>
      <w:bCs/>
      <w:kern w:val="0"/>
      <w:sz w:val="20"/>
    </w:rPr>
  </w:style>
  <w:style w:type="paragraph" w:customStyle="1" w:styleId="323">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autoRedefine/>
    <w:qFormat/>
    <w:uiPriority w:val="0"/>
    <w:rPr>
      <w:rFonts w:ascii="Tahoma" w:hAnsi="Tahoma"/>
      <w:sz w:val="24"/>
    </w:rPr>
  </w:style>
  <w:style w:type="paragraph" w:customStyle="1" w:styleId="325">
    <w:name w:val="表蕊"/>
    <w:basedOn w:val="1"/>
    <w:autoRedefine/>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autoRedefine/>
    <w:qFormat/>
    <w:uiPriority w:val="0"/>
    <w:pPr>
      <w:spacing w:line="360" w:lineRule="auto"/>
      <w:ind w:left="200" w:leftChars="200"/>
    </w:pPr>
    <w:rPr>
      <w:rFonts w:ascii="宋体" w:hAnsi="宋体"/>
      <w:b/>
      <w:sz w:val="24"/>
      <w:szCs w:val="24"/>
    </w:rPr>
  </w:style>
  <w:style w:type="paragraph" w:customStyle="1" w:styleId="327">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autoRedefine/>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5"/>
    <w:autoRedefine/>
    <w:qFormat/>
    <w:uiPriority w:val="0"/>
    <w:pPr>
      <w:spacing w:line="360" w:lineRule="auto"/>
    </w:pPr>
    <w:rPr>
      <w:rFonts w:eastAsia="仿宋_GB2312"/>
      <w:sz w:val="24"/>
      <w:szCs w:val="24"/>
    </w:rPr>
  </w:style>
  <w:style w:type="paragraph" w:customStyle="1" w:styleId="333">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20"/>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7"/>
    <w:autoRedefine/>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autoRedefine/>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autoRedefin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autoRedefine/>
    <w:qFormat/>
    <w:uiPriority w:val="0"/>
    <w:pPr>
      <w:numPr>
        <w:ilvl w:val="1"/>
        <w:numId w:val="3"/>
      </w:numPr>
      <w:spacing w:line="413" w:lineRule="auto"/>
    </w:pPr>
    <w:rPr>
      <w:rFonts w:ascii="Arial" w:hAnsi="Arial" w:eastAsia="黑体"/>
      <w:b w:val="0"/>
      <w:sz w:val="28"/>
      <w:szCs w:val="20"/>
    </w:rPr>
  </w:style>
  <w:style w:type="paragraph" w:customStyle="1" w:styleId="34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autoRedefine/>
    <w:qFormat/>
    <w:uiPriority w:val="0"/>
    <w:pPr>
      <w:spacing w:afterLines="50" w:line="360" w:lineRule="auto"/>
    </w:pPr>
    <w:rPr>
      <w:rFonts w:ascii="Tahoma" w:hAnsi="Tahoma"/>
      <w:sz w:val="24"/>
    </w:rPr>
  </w:style>
  <w:style w:type="paragraph" w:customStyle="1" w:styleId="350">
    <w:name w:val="项目符号，二级"/>
    <w:basedOn w:val="255"/>
    <w:next w:val="255"/>
    <w:autoRedefine/>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autoRedefine/>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autoRedefine/>
    <w:qFormat/>
    <w:uiPriority w:val="0"/>
    <w:rPr>
      <w:rFonts w:ascii="Tahoma" w:hAnsi="Tahoma" w:cs="Tahoma"/>
      <w:sz w:val="24"/>
    </w:rPr>
  </w:style>
  <w:style w:type="paragraph" w:customStyle="1" w:styleId="353">
    <w:name w:val="Char Char Char Char Char1"/>
    <w:basedOn w:val="1"/>
    <w:autoRedefine/>
    <w:qFormat/>
    <w:uiPriority w:val="0"/>
    <w:rPr>
      <w:rFonts w:ascii="Tahoma" w:hAnsi="Tahoma" w:cs="Tahoma"/>
      <w:sz w:val="24"/>
    </w:rPr>
  </w:style>
  <w:style w:type="paragraph" w:customStyle="1" w:styleId="354">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57">
    <w:name w:val="样式1"/>
    <w:basedOn w:val="1"/>
    <w:autoRedefine/>
    <w:qFormat/>
    <w:uiPriority w:val="0"/>
    <w:pPr>
      <w:spacing w:line="300" w:lineRule="auto"/>
      <w:ind w:firstLine="480" w:firstLineChars="200"/>
    </w:pPr>
    <w:rPr>
      <w:sz w:val="24"/>
      <w:szCs w:val="24"/>
    </w:rPr>
  </w:style>
  <w:style w:type="paragraph" w:customStyle="1" w:styleId="358">
    <w:name w:val="Bullets L1"/>
    <w:basedOn w:val="1"/>
    <w:autoRedefine/>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autoRedefine/>
    <w:qFormat/>
    <w:uiPriority w:val="0"/>
    <w:pPr>
      <w:spacing w:line="360" w:lineRule="auto"/>
      <w:ind w:firstLine="480"/>
    </w:pPr>
    <w:rPr>
      <w:rFonts w:cs="宋体"/>
      <w:sz w:val="24"/>
    </w:rPr>
  </w:style>
  <w:style w:type="paragraph" w:customStyle="1" w:styleId="362">
    <w:name w:val="Char2"/>
    <w:basedOn w:val="1"/>
    <w:autoRedefine/>
    <w:qFormat/>
    <w:uiPriority w:val="0"/>
    <w:rPr>
      <w:rFonts w:ascii="Tahoma" w:hAnsi="Tahoma" w:cs="仿宋_GB2312"/>
      <w:sz w:val="24"/>
      <w:szCs w:val="28"/>
    </w:rPr>
  </w:style>
  <w:style w:type="paragraph" w:customStyle="1" w:styleId="363">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66">
    <w:name w:val="论文正文"/>
    <w:basedOn w:val="36"/>
    <w:autoRedefine/>
    <w:qFormat/>
    <w:uiPriority w:val="0"/>
    <w:pPr>
      <w:spacing w:line="360" w:lineRule="auto"/>
      <w:ind w:left="0" w:firstLine="200" w:firstLineChars="200"/>
      <w:jc w:val="left"/>
    </w:pPr>
    <w:rPr>
      <w:sz w:val="28"/>
      <w:szCs w:val="24"/>
    </w:rPr>
  </w:style>
  <w:style w:type="paragraph" w:customStyle="1" w:styleId="367">
    <w:name w:val="列出段落3"/>
    <w:basedOn w:val="1"/>
    <w:autoRedefine/>
    <w:qFormat/>
    <w:uiPriority w:val="0"/>
    <w:pPr>
      <w:ind w:firstLine="420" w:firstLineChars="200"/>
    </w:pPr>
    <w:rPr>
      <w:szCs w:val="24"/>
    </w:rPr>
  </w:style>
  <w:style w:type="paragraph" w:customStyle="1" w:styleId="368">
    <w:name w:val="丁华标题1"/>
    <w:basedOn w:val="3"/>
    <w:next w:val="236"/>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autoRedefine/>
    <w:qFormat/>
    <w:uiPriority w:val="0"/>
    <w:pPr>
      <w:tabs>
        <w:tab w:val="left" w:pos="1620"/>
      </w:tabs>
      <w:adjustRightInd w:val="0"/>
      <w:jc w:val="center"/>
    </w:pPr>
    <w:rPr>
      <w:bCs/>
      <w:color w:val="000000"/>
      <w:szCs w:val="22"/>
    </w:rPr>
  </w:style>
  <w:style w:type="paragraph" w:customStyle="1" w:styleId="370">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autoRedefine/>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9"/>
    <w:autoRedefine/>
    <w:qFormat/>
    <w:uiPriority w:val="0"/>
    <w:pPr>
      <w:spacing w:beforeLines="50" w:afterLines="50"/>
      <w:jc w:val="left"/>
    </w:pPr>
    <w:rPr>
      <w:rFonts w:cs="宋体"/>
      <w:bCs/>
      <w:sz w:val="30"/>
    </w:rPr>
  </w:style>
  <w:style w:type="paragraph" w:customStyle="1" w:styleId="375">
    <w:name w:val="Char Char Char Char Char Char Char Char Char Char Char1"/>
    <w:basedOn w:val="1"/>
    <w:autoRedefine/>
    <w:qFormat/>
    <w:uiPriority w:val="0"/>
    <w:rPr>
      <w:rFonts w:ascii="Tahoma" w:hAnsi="Tahoma"/>
      <w:sz w:val="24"/>
    </w:rPr>
  </w:style>
  <w:style w:type="paragraph" w:customStyle="1" w:styleId="376">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77">
    <w:name w:val="font14"/>
    <w:basedOn w:val="1"/>
    <w:autoRedefine/>
    <w:qFormat/>
    <w:uiPriority w:val="0"/>
    <w:pPr>
      <w:widowControl/>
      <w:spacing w:before="100" w:beforeAutospacing="1" w:after="100" w:afterAutospacing="1"/>
      <w:jc w:val="left"/>
    </w:pPr>
    <w:rPr>
      <w:kern w:val="0"/>
      <w:sz w:val="36"/>
      <w:szCs w:val="36"/>
    </w:rPr>
  </w:style>
  <w:style w:type="paragraph" w:customStyle="1" w:styleId="378">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0">
    <w:name w:val="Test2"/>
    <w:basedOn w:val="4"/>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84">
    <w:name w:val="Default Text"/>
    <w:basedOn w:val="1"/>
    <w:autoRedefine/>
    <w:qFormat/>
    <w:uiPriority w:val="0"/>
    <w:pPr>
      <w:widowControl/>
      <w:jc w:val="left"/>
    </w:pPr>
    <w:rPr>
      <w:kern w:val="0"/>
      <w:sz w:val="24"/>
      <w:lang w:eastAsia="en-US"/>
    </w:rPr>
  </w:style>
  <w:style w:type="paragraph" w:customStyle="1" w:styleId="38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autoRedefine/>
    <w:qFormat/>
    <w:uiPriority w:val="0"/>
    <w:pPr>
      <w:widowControl/>
      <w:tabs>
        <w:tab w:val="left" w:pos="2240"/>
      </w:tabs>
      <w:ind w:hanging="420"/>
      <w:outlineLvl w:val="3"/>
    </w:pPr>
    <w:rPr>
      <w:rFonts w:eastAsia="黑体"/>
      <w:kern w:val="0"/>
    </w:rPr>
  </w:style>
  <w:style w:type="paragraph" w:customStyle="1" w:styleId="390">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autoRedefine/>
    <w:qFormat/>
    <w:uiPriority w:val="0"/>
    <w:pPr>
      <w:spacing w:line="360" w:lineRule="auto"/>
      <w:ind w:firstLine="420" w:firstLineChars="200"/>
    </w:pPr>
    <w:rPr>
      <w:szCs w:val="24"/>
    </w:rPr>
  </w:style>
  <w:style w:type="paragraph" w:customStyle="1" w:styleId="394">
    <w:name w:val="Char Char Char Char Char Char Char Char1"/>
    <w:basedOn w:val="1"/>
    <w:autoRedefine/>
    <w:qFormat/>
    <w:uiPriority w:val="0"/>
    <w:rPr>
      <w:rFonts w:ascii="Tahoma" w:hAnsi="Tahoma" w:cs="Tahoma"/>
      <w:sz w:val="24"/>
    </w:rPr>
  </w:style>
  <w:style w:type="paragraph" w:customStyle="1" w:styleId="395">
    <w:name w:val="Char Char Char Char1"/>
    <w:basedOn w:val="22"/>
    <w:autoRedefine/>
    <w:qFormat/>
    <w:uiPriority w:val="0"/>
    <w:pPr>
      <w:adjustRightInd w:val="0"/>
      <w:snapToGrid w:val="0"/>
      <w:spacing w:line="360" w:lineRule="auto"/>
    </w:pPr>
    <w:rPr>
      <w:rFonts w:ascii="Tahoma" w:hAnsi="Tahoma"/>
      <w:sz w:val="24"/>
      <w:szCs w:val="24"/>
    </w:rPr>
  </w:style>
  <w:style w:type="paragraph" w:customStyle="1" w:styleId="396">
    <w:name w:val="正文1"/>
    <w:basedOn w:val="1"/>
    <w:autoRedefine/>
    <w:qFormat/>
    <w:uiPriority w:val="0"/>
    <w:rPr>
      <w:rFonts w:ascii="Calibri" w:hAnsi="Calibri" w:eastAsia="Times New Roman" w:cs="宋体"/>
      <w:kern w:val="0"/>
      <w:lang w:val="zh-CN"/>
    </w:rPr>
  </w:style>
  <w:style w:type="paragraph" w:customStyle="1" w:styleId="397">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9">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400">
    <w:name w:val="Normal1"/>
    <w:basedOn w:val="1"/>
    <w:autoRedefine/>
    <w:qFormat/>
    <w:uiPriority w:val="0"/>
    <w:rPr>
      <w:rFonts w:ascii="Calibri" w:hAnsi="Calibri" w:eastAsia="Times New Roman" w:cs="宋体"/>
      <w:kern w:val="0"/>
      <w:lang w:val="zh-CN"/>
    </w:rPr>
  </w:style>
  <w:style w:type="paragraph" w:customStyle="1" w:styleId="401">
    <w:name w:val="纯文本1"/>
    <w:basedOn w:val="1"/>
    <w:autoRedefine/>
    <w:qFormat/>
    <w:uiPriority w:val="0"/>
    <w:pPr>
      <w:adjustRightInd w:val="0"/>
      <w:textAlignment w:val="baseline"/>
    </w:pPr>
    <w:rPr>
      <w:rFonts w:ascii="宋体" w:hAnsi="宋体" w:eastAsia="楷体_GB2312" w:cs="宋体"/>
      <w:sz w:val="28"/>
    </w:rPr>
  </w:style>
  <w:style w:type="paragraph" w:customStyle="1" w:styleId="402">
    <w:name w:val="正文lzq"/>
    <w:basedOn w:val="1"/>
    <w:autoRedefine/>
    <w:qFormat/>
    <w:uiPriority w:val="0"/>
    <w:pPr>
      <w:adjustRightInd w:val="0"/>
      <w:spacing w:line="360" w:lineRule="auto"/>
      <w:ind w:firstLine="480"/>
      <w:textAlignment w:val="baseline"/>
    </w:pPr>
    <w:rPr>
      <w:kern w:val="0"/>
      <w:sz w:val="24"/>
    </w:rPr>
  </w:style>
  <w:style w:type="paragraph" w:customStyle="1" w:styleId="403">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04">
    <w:name w:val="Char Char Char Char Char Char Char Char Char Char Char Char Char Char Char Char Char Char Char Char Char"/>
    <w:basedOn w:val="1"/>
    <w:autoRedefine/>
    <w:qFormat/>
    <w:uiPriority w:val="0"/>
    <w:rPr>
      <w:rFonts w:ascii="Tahoma" w:hAnsi="Tahoma"/>
      <w:sz w:val="24"/>
    </w:rPr>
  </w:style>
  <w:style w:type="paragraph" w:customStyle="1" w:styleId="405">
    <w:name w:val="Char Char Char"/>
    <w:basedOn w:val="1"/>
    <w:autoRedefine/>
    <w:qFormat/>
    <w:uiPriority w:val="0"/>
    <w:rPr>
      <w:rFonts w:ascii="Tahoma" w:hAnsi="Tahoma"/>
      <w:sz w:val="24"/>
    </w:rPr>
  </w:style>
  <w:style w:type="paragraph" w:customStyle="1" w:styleId="406">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7">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08">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09">
    <w:name w:val="公文标题 2"/>
    <w:basedOn w:val="1"/>
    <w:next w:val="339"/>
    <w:autoRedefine/>
    <w:qFormat/>
    <w:uiPriority w:val="0"/>
    <w:pPr>
      <w:outlineLvl w:val="1"/>
    </w:pPr>
    <w:rPr>
      <w:rFonts w:ascii="仿宋_GB2312" w:hAnsi="宋体" w:eastAsia="仿宋_GB2312"/>
      <w:kern w:val="28"/>
      <w:sz w:val="28"/>
      <w:szCs w:val="24"/>
    </w:rPr>
  </w:style>
  <w:style w:type="paragraph" w:customStyle="1" w:styleId="410">
    <w:name w:val="文档正文"/>
    <w:basedOn w:val="1"/>
    <w:autoRedefine/>
    <w:qFormat/>
    <w:uiPriority w:val="0"/>
    <w:pPr>
      <w:spacing w:line="360" w:lineRule="auto"/>
    </w:pPr>
    <w:rPr>
      <w:rFonts w:ascii="宋体" w:hAnsi="宋体"/>
      <w:b/>
      <w:bCs/>
      <w:szCs w:val="24"/>
    </w:rPr>
  </w:style>
  <w:style w:type="paragraph" w:customStyle="1" w:styleId="411">
    <w:name w:val="Char Char Char Char Char Char Char Char Char Char Char"/>
    <w:basedOn w:val="1"/>
    <w:autoRedefine/>
    <w:qFormat/>
    <w:uiPriority w:val="0"/>
    <w:rPr>
      <w:rFonts w:ascii="Tahoma" w:hAnsi="Tahoma" w:cs="Tahoma"/>
      <w:sz w:val="24"/>
    </w:rPr>
  </w:style>
  <w:style w:type="paragraph" w:customStyle="1" w:styleId="412">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3">
    <w:name w:val="标题6"/>
    <w:basedOn w:val="11"/>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4">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15">
    <w:name w:val="批注文字 Char1"/>
    <w:basedOn w:val="64"/>
    <w:autoRedefine/>
    <w:semiHidden/>
    <w:qFormat/>
    <w:uiPriority w:val="99"/>
    <w:rPr>
      <w:rFonts w:ascii="Times New Roman" w:hAnsi="Times New Roman" w:eastAsia="宋体" w:cs="Times New Roman"/>
      <w:szCs w:val="24"/>
    </w:rPr>
  </w:style>
  <w:style w:type="paragraph" w:styleId="416">
    <w:name w:val="List Paragraph"/>
    <w:basedOn w:val="1"/>
    <w:autoRedefine/>
    <w:qFormat/>
    <w:uiPriority w:val="99"/>
    <w:pPr>
      <w:ind w:firstLine="420" w:firstLineChars="200"/>
    </w:pPr>
    <w:rPr>
      <w:szCs w:val="24"/>
    </w:rPr>
  </w:style>
  <w:style w:type="paragraph" w:customStyle="1" w:styleId="417">
    <w:name w:val="D&amp;L"/>
    <w:basedOn w:val="40"/>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table" w:customStyle="1" w:styleId="418">
    <w:name w:val="网格型1"/>
    <w:basedOn w:val="6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9">
    <w:name w:val="Char Char Char Char Char Char Char1 Char"/>
    <w:basedOn w:val="1"/>
    <w:autoRedefine/>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27074</Words>
  <Characters>28748</Characters>
  <Lines>195</Lines>
  <Paragraphs>55</Paragraphs>
  <TotalTime>17</TotalTime>
  <ScaleCrop>false</ScaleCrop>
  <LinksUpToDate>false</LinksUpToDate>
  <CharactersWithSpaces>32267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2018-11-26T11:11:00Z</dcterms:created>
  <dc:creator>Windows 用户</dc:creator>
  <cp:lastModifiedBy>品诺酒店用品</cp:lastModifiedBy>
  <cp:lastPrinted>2019-08-24T12:01:00Z</cp:lastPrinted>
  <dcterms:modified xsi:type="dcterms:W3CDTF">2024-04-22T07:26:31Z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5E9F311C3D9C41BFB1FF5BF213F81464_13</vt:lpwstr>
  </property>
</Properties>
</file>